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3369" w:rsidRDefault="005B3369">
      <w:pPr>
        <w:tabs>
          <w:tab w:val="center" w:pos="4252"/>
        </w:tabs>
        <w:jc w:val="left"/>
        <w:rPr>
          <w:sz w:val="22"/>
          <w:lang w:eastAsia="zh-TW"/>
        </w:rPr>
      </w:pPr>
      <w:r>
        <w:rPr>
          <w:rFonts w:hint="eastAsia"/>
          <w:sz w:val="22"/>
          <w:lang w:eastAsia="zh-TW"/>
        </w:rPr>
        <w:t>様式１</w:t>
      </w:r>
    </w:p>
    <w:p w:rsidR="00E9475F" w:rsidRPr="00E9475F" w:rsidRDefault="00E9475F">
      <w:pPr>
        <w:tabs>
          <w:tab w:val="center" w:pos="4252"/>
        </w:tabs>
        <w:jc w:val="center"/>
        <w:rPr>
          <w:b/>
          <w:lang w:eastAsia="zh-TW"/>
        </w:rPr>
      </w:pPr>
      <w:r w:rsidRPr="00E9475F">
        <w:rPr>
          <w:rFonts w:hint="eastAsia"/>
          <w:b/>
          <w:lang w:eastAsia="zh-TW"/>
        </w:rPr>
        <w:t>富山県立大学研究協力会</w:t>
      </w:r>
    </w:p>
    <w:p w:rsidR="005B3369" w:rsidRPr="00E9475F" w:rsidRDefault="006278C2" w:rsidP="00E9475F">
      <w:pPr>
        <w:tabs>
          <w:tab w:val="center" w:pos="4252"/>
        </w:tabs>
        <w:jc w:val="center"/>
        <w:rPr>
          <w:lang w:eastAsia="zh-TW"/>
        </w:rPr>
      </w:pPr>
      <w:r>
        <w:rPr>
          <w:rFonts w:hint="eastAsia"/>
          <w:lang w:eastAsia="zh-TW"/>
        </w:rPr>
        <w:t>20</w:t>
      </w:r>
      <w:r w:rsidR="003676C0">
        <w:rPr>
          <w:rFonts w:hint="eastAsia"/>
          <w:lang w:eastAsia="zh-TW"/>
        </w:rPr>
        <w:t>20</w:t>
      </w:r>
      <w:r w:rsidR="00781B36">
        <w:rPr>
          <w:rFonts w:hint="eastAsia"/>
          <w:lang w:eastAsia="zh-TW"/>
        </w:rPr>
        <w:t>年</w:t>
      </w:r>
      <w:r w:rsidR="00427374" w:rsidRPr="00E9475F">
        <w:rPr>
          <w:rFonts w:hint="eastAsia"/>
          <w:lang w:eastAsia="zh-TW"/>
        </w:rPr>
        <w:t>度</w:t>
      </w:r>
      <w:r w:rsidR="001260FE">
        <w:rPr>
          <w:rFonts w:hint="eastAsia"/>
          <w:lang w:eastAsia="zh-TW"/>
        </w:rPr>
        <w:t>奨励</w:t>
      </w:r>
      <w:r w:rsidR="00E9475F" w:rsidRPr="00E9475F">
        <w:rPr>
          <w:rFonts w:hint="eastAsia"/>
          <w:lang w:eastAsia="zh-TW"/>
        </w:rPr>
        <w:t>研究</w:t>
      </w:r>
      <w:r w:rsidR="005B3369" w:rsidRPr="00E9475F">
        <w:rPr>
          <w:rFonts w:hint="eastAsia"/>
          <w:lang w:eastAsia="zh-TW"/>
        </w:rPr>
        <w:t>計画書</w:t>
      </w:r>
    </w:p>
    <w:p w:rsidR="005B3369" w:rsidRDefault="000C39F7">
      <w:pPr>
        <w:tabs>
          <w:tab w:val="center" w:pos="4252"/>
        </w:tabs>
        <w:jc w:val="right"/>
        <w:rPr>
          <w:sz w:val="22"/>
          <w:lang w:eastAsia="zh-TW"/>
        </w:rPr>
      </w:pPr>
      <w:r>
        <w:rPr>
          <w:noProof/>
          <w:sz w:val="22"/>
        </w:rPr>
        <w:pict w14:anchorId="5C707B4F">
          <v:shapetype id="_x0000_t202" coordsize="21600,21600" o:spt="202" path="m,l,21600r21600,l21600,xe">
            <v:stroke joinstyle="miter"/>
            <v:path gradientshapeok="t" o:connecttype="rect"/>
          </v:shapetype>
          <v:shape id="_x0000_s1028" type="#_x0000_t202" alt="" style="position:absolute;left:0;text-align:left;margin-left:-2.6pt;margin-top:668.5pt;width:489pt;height:18.75pt;z-index:3;mso-wrap-style:square;mso-wrap-edited:f;mso-width-percent:0;mso-height-percent:0;mso-width-percent:0;mso-height-percent:0;v-text-anchor:top" stroked="f">
            <v:textbox inset="5.85pt,.7pt,5.85pt,.7pt">
              <w:txbxContent>
                <w:p w:rsidR="00C509B2" w:rsidRPr="00BC3EE8" w:rsidRDefault="00C509B2">
                  <w:pPr>
                    <w:rPr>
                      <w:sz w:val="22"/>
                    </w:rPr>
                  </w:pPr>
                  <w:r w:rsidRPr="00BC3EE8">
                    <w:rPr>
                      <w:rFonts w:hint="eastAsia"/>
                      <w:sz w:val="22"/>
                    </w:rPr>
                    <w:t>※</w:t>
                  </w:r>
                  <w:r>
                    <w:rPr>
                      <w:rFonts w:hint="eastAsia"/>
                      <w:sz w:val="18"/>
                    </w:rPr>
                    <w:t>¹</w:t>
                  </w:r>
                  <w:r w:rsidRPr="00BC3EE8">
                    <w:rPr>
                      <w:rFonts w:hint="eastAsia"/>
                      <w:sz w:val="22"/>
                    </w:rPr>
                    <w:t xml:space="preserve"> (6)</w:t>
                  </w:r>
                  <w:r w:rsidRPr="00BC3EE8">
                    <w:rPr>
                      <w:rFonts w:hint="eastAsia"/>
                      <w:sz w:val="22"/>
                    </w:rPr>
                    <w:t>看</w:t>
                  </w:r>
                  <w:r>
                    <w:rPr>
                      <w:rFonts w:hint="eastAsia"/>
                      <w:sz w:val="22"/>
                    </w:rPr>
                    <w:t>工連携の場合は、工学部教員と看護学部教員の連携が分かるように記入</w:t>
                  </w:r>
                  <w:r w:rsidRPr="00BC3EE8">
                    <w:rPr>
                      <w:rFonts w:hint="eastAsia"/>
                      <w:sz w:val="22"/>
                    </w:rPr>
                    <w:t>してください</w:t>
                  </w:r>
                  <w:r w:rsidR="00CD1DC7">
                    <w:rPr>
                      <w:rFonts w:hint="eastAsia"/>
                      <w:sz w:val="22"/>
                    </w:rPr>
                    <w:t>．</w:t>
                  </w:r>
                </w:p>
              </w:txbxContent>
            </v:textbox>
          </v:shape>
        </w:pict>
      </w:r>
      <w:r w:rsidR="006278C2">
        <w:rPr>
          <w:rFonts w:hint="eastAsia"/>
          <w:sz w:val="22"/>
          <w:lang w:eastAsia="zh-TW"/>
        </w:rPr>
        <w:t>20</w:t>
      </w:r>
      <w:r w:rsidR="003676C0">
        <w:rPr>
          <w:rFonts w:hint="eastAsia"/>
          <w:sz w:val="22"/>
          <w:lang w:eastAsia="zh-TW"/>
        </w:rPr>
        <w:t>20</w:t>
      </w:r>
      <w:r w:rsidR="005B3369">
        <w:rPr>
          <w:rFonts w:hint="eastAsia"/>
          <w:sz w:val="22"/>
          <w:lang w:eastAsia="zh-TW"/>
        </w:rPr>
        <w:t>年</w:t>
      </w:r>
      <w:r w:rsidR="00C509B2">
        <w:rPr>
          <w:rFonts w:hint="eastAsia"/>
          <w:sz w:val="22"/>
          <w:lang w:eastAsia="zh-TW"/>
        </w:rPr>
        <w:t>5</w:t>
      </w:r>
      <w:r w:rsidR="005B3369">
        <w:rPr>
          <w:rFonts w:hint="eastAsia"/>
          <w:sz w:val="22"/>
          <w:lang w:eastAsia="zh-TW"/>
        </w:rPr>
        <w:t>月</w:t>
      </w:r>
      <w:r w:rsidR="00C509B2">
        <w:rPr>
          <w:rFonts w:hint="eastAsia"/>
          <w:sz w:val="22"/>
          <w:lang w:eastAsia="zh-TW"/>
        </w:rPr>
        <w:t>2</w:t>
      </w:r>
      <w:r w:rsidR="00C509B2">
        <w:rPr>
          <w:sz w:val="22"/>
          <w:lang w:eastAsia="zh-TW"/>
        </w:rPr>
        <w:t>8</w:t>
      </w:r>
      <w:r w:rsidR="005B3369">
        <w:rPr>
          <w:rFonts w:hint="eastAsia"/>
          <w:sz w:val="22"/>
          <w:lang w:eastAsia="zh-TW"/>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923"/>
        <w:gridCol w:w="348"/>
        <w:gridCol w:w="62"/>
        <w:gridCol w:w="513"/>
        <w:gridCol w:w="923"/>
        <w:gridCol w:w="923"/>
        <w:gridCol w:w="923"/>
        <w:gridCol w:w="923"/>
        <w:gridCol w:w="830"/>
        <w:gridCol w:w="1016"/>
        <w:gridCol w:w="924"/>
      </w:tblGrid>
      <w:tr w:rsidR="005B3369" w:rsidTr="00CD1DC7">
        <w:trPr>
          <w:cantSplit/>
          <w:trHeight w:val="533"/>
        </w:trPr>
        <w:tc>
          <w:tcPr>
            <w:tcW w:w="2861" w:type="dxa"/>
            <w:gridSpan w:val="4"/>
          </w:tcPr>
          <w:p w:rsidR="00567849" w:rsidRDefault="005B3369">
            <w:pPr>
              <w:tabs>
                <w:tab w:val="center" w:pos="4252"/>
              </w:tabs>
              <w:jc w:val="left"/>
              <w:rPr>
                <w:sz w:val="22"/>
              </w:rPr>
            </w:pPr>
            <w:r>
              <w:rPr>
                <w:rFonts w:hint="eastAsia"/>
                <w:sz w:val="22"/>
              </w:rPr>
              <w:t>1</w:t>
            </w:r>
            <w:r w:rsidR="00F37047">
              <w:rPr>
                <w:rFonts w:hint="eastAsia"/>
                <w:sz w:val="22"/>
              </w:rPr>
              <w:t>.</w:t>
            </w:r>
            <w:r>
              <w:rPr>
                <w:rFonts w:hint="eastAsia"/>
                <w:sz w:val="22"/>
              </w:rPr>
              <w:t>申請者</w:t>
            </w:r>
          </w:p>
          <w:p w:rsidR="005B3369" w:rsidRDefault="005B3369">
            <w:pPr>
              <w:tabs>
                <w:tab w:val="center" w:pos="4252"/>
              </w:tabs>
              <w:jc w:val="left"/>
              <w:rPr>
                <w:sz w:val="22"/>
              </w:rPr>
            </w:pPr>
            <w:r>
              <w:rPr>
                <w:rFonts w:hint="eastAsia"/>
                <w:sz w:val="22"/>
              </w:rPr>
              <w:t>（</w:t>
            </w:r>
            <w:r w:rsidR="00816F3F">
              <w:rPr>
                <w:rFonts w:hint="eastAsia"/>
                <w:sz w:val="22"/>
              </w:rPr>
              <w:t>所属</w:t>
            </w:r>
            <w:r w:rsidR="00567849" w:rsidRPr="00FD6002">
              <w:rPr>
                <w:rFonts w:hint="eastAsia"/>
                <w:sz w:val="22"/>
              </w:rPr>
              <w:t>・</w:t>
            </w:r>
            <w:r>
              <w:rPr>
                <w:rFonts w:hint="eastAsia"/>
                <w:sz w:val="22"/>
              </w:rPr>
              <w:t>職・氏名）</w:t>
            </w:r>
          </w:p>
        </w:tc>
        <w:tc>
          <w:tcPr>
            <w:tcW w:w="6975" w:type="dxa"/>
            <w:gridSpan w:val="8"/>
            <w:vAlign w:val="center"/>
          </w:tcPr>
          <w:p w:rsidR="005B3369" w:rsidRDefault="00C509B2" w:rsidP="00C509B2">
            <w:pPr>
              <w:tabs>
                <w:tab w:val="center" w:pos="4252"/>
              </w:tabs>
              <w:jc w:val="center"/>
              <w:rPr>
                <w:sz w:val="22"/>
              </w:rPr>
            </w:pPr>
            <w:r>
              <w:rPr>
                <w:rFonts w:hAnsi="ＭＳ 明朝" w:hint="eastAsia"/>
                <w:sz w:val="22"/>
                <w:szCs w:val="22"/>
              </w:rPr>
              <w:t>情報システム工学科・講師・</w:t>
            </w:r>
            <w:r w:rsidRPr="00F35E24">
              <w:rPr>
                <w:rFonts w:hAnsi="ＭＳ 明朝"/>
                <w:sz w:val="21"/>
                <w:szCs w:val="21"/>
              </w:rPr>
              <w:t>Antonio Oliveira Nzinga Rene</w:t>
            </w:r>
          </w:p>
        </w:tc>
      </w:tr>
      <w:tr w:rsidR="00DE1923" w:rsidTr="00DE1923">
        <w:trPr>
          <w:cantSplit/>
          <w:trHeight w:val="323"/>
        </w:trPr>
        <w:tc>
          <w:tcPr>
            <w:tcW w:w="1528" w:type="dxa"/>
            <w:tcBorders>
              <w:bottom w:val="dashed" w:sz="4" w:space="0" w:color="auto"/>
            </w:tcBorders>
          </w:tcPr>
          <w:p w:rsidR="00DE1923" w:rsidRDefault="00DE1923" w:rsidP="00DE1923">
            <w:pPr>
              <w:tabs>
                <w:tab w:val="center" w:pos="4252"/>
              </w:tabs>
              <w:jc w:val="left"/>
              <w:rPr>
                <w:sz w:val="22"/>
              </w:rPr>
            </w:pPr>
            <w:r>
              <w:rPr>
                <w:rFonts w:hint="eastAsia"/>
                <w:sz w:val="22"/>
              </w:rPr>
              <w:t>2.</w:t>
            </w:r>
            <w:r>
              <w:rPr>
                <w:rFonts w:hint="eastAsia"/>
                <w:sz w:val="22"/>
              </w:rPr>
              <w:t>研究分野</w:t>
            </w:r>
          </w:p>
        </w:tc>
        <w:tc>
          <w:tcPr>
            <w:tcW w:w="8308" w:type="dxa"/>
            <w:gridSpan w:val="11"/>
          </w:tcPr>
          <w:p w:rsidR="00DE1923" w:rsidRDefault="00DE1923" w:rsidP="00E9475F">
            <w:pPr>
              <w:tabs>
                <w:tab w:val="center" w:pos="4252"/>
              </w:tabs>
              <w:jc w:val="left"/>
              <w:rPr>
                <w:sz w:val="22"/>
              </w:rPr>
            </w:pPr>
            <w:r>
              <w:rPr>
                <w:rFonts w:hint="eastAsia"/>
                <w:sz w:val="22"/>
              </w:rPr>
              <w:t>※複数の研究分野に該当する場合は、第二希望まで記入してください</w:t>
            </w:r>
            <w:r w:rsidR="00CD1DC7">
              <w:rPr>
                <w:rFonts w:hint="eastAsia"/>
                <w:sz w:val="22"/>
              </w:rPr>
              <w:t>．</w:t>
            </w:r>
          </w:p>
        </w:tc>
      </w:tr>
      <w:tr w:rsidR="00DE1923" w:rsidTr="001A5DDD">
        <w:trPr>
          <w:cantSplit/>
          <w:trHeight w:val="322"/>
        </w:trPr>
        <w:tc>
          <w:tcPr>
            <w:tcW w:w="1528" w:type="dxa"/>
            <w:tcBorders>
              <w:bottom w:val="dashed" w:sz="4" w:space="0" w:color="auto"/>
            </w:tcBorders>
          </w:tcPr>
          <w:p w:rsidR="00DE1923" w:rsidRDefault="00DE1923" w:rsidP="00DE1923">
            <w:pPr>
              <w:tabs>
                <w:tab w:val="center" w:pos="4252"/>
              </w:tabs>
              <w:jc w:val="right"/>
              <w:rPr>
                <w:sz w:val="22"/>
              </w:rPr>
            </w:pPr>
            <w:r>
              <w:rPr>
                <w:rFonts w:hint="eastAsia"/>
                <w:sz w:val="22"/>
              </w:rPr>
              <w:t>第一希望</w:t>
            </w:r>
          </w:p>
        </w:tc>
        <w:tc>
          <w:tcPr>
            <w:tcW w:w="8308" w:type="dxa"/>
            <w:gridSpan w:val="11"/>
            <w:tcBorders>
              <w:bottom w:val="dashed" w:sz="4" w:space="0" w:color="auto"/>
            </w:tcBorders>
          </w:tcPr>
          <w:p w:rsidR="00DE1923" w:rsidRDefault="00DE1923" w:rsidP="00DE1923">
            <w:pPr>
              <w:tabs>
                <w:tab w:val="center" w:pos="4252"/>
              </w:tabs>
              <w:jc w:val="left"/>
              <w:rPr>
                <w:sz w:val="22"/>
              </w:rPr>
            </w:pPr>
            <w:r w:rsidRPr="00E9475F">
              <w:rPr>
                <w:rFonts w:hint="eastAsia"/>
                <w:sz w:val="22"/>
              </w:rPr>
              <w:t>(1)</w:t>
            </w:r>
            <w:r>
              <w:rPr>
                <w:rFonts w:hint="eastAsia"/>
                <w:sz w:val="22"/>
              </w:rPr>
              <w:t>バイオ・</w:t>
            </w:r>
            <w:r w:rsidRPr="00E9475F">
              <w:rPr>
                <w:rFonts w:hint="eastAsia"/>
                <w:sz w:val="22"/>
              </w:rPr>
              <w:t>ライフサイエンス</w:t>
            </w:r>
            <w:r>
              <w:rPr>
                <w:rFonts w:hint="eastAsia"/>
                <w:sz w:val="22"/>
              </w:rPr>
              <w:t xml:space="preserve">　</w:t>
            </w:r>
            <w:r w:rsidRPr="00E9475F">
              <w:rPr>
                <w:rFonts w:hint="eastAsia"/>
                <w:sz w:val="22"/>
              </w:rPr>
              <w:t>(2)</w:t>
            </w:r>
            <w:r w:rsidRPr="00E9475F">
              <w:rPr>
                <w:rFonts w:hint="eastAsia"/>
                <w:sz w:val="22"/>
              </w:rPr>
              <w:t>情報通信</w:t>
            </w:r>
            <w:r>
              <w:rPr>
                <w:rFonts w:hint="eastAsia"/>
                <w:sz w:val="22"/>
              </w:rPr>
              <w:t xml:space="preserve">　</w:t>
            </w:r>
            <w:r w:rsidRPr="00E9475F">
              <w:rPr>
                <w:rFonts w:hint="eastAsia"/>
                <w:sz w:val="22"/>
              </w:rPr>
              <w:t>(3)</w:t>
            </w:r>
            <w:r w:rsidRPr="00E9475F">
              <w:rPr>
                <w:rFonts w:hint="eastAsia"/>
                <w:sz w:val="22"/>
              </w:rPr>
              <w:t>環境・エネルギー</w:t>
            </w:r>
          </w:p>
          <w:p w:rsidR="00DE1923" w:rsidRPr="00E9475F" w:rsidRDefault="000C39F7" w:rsidP="00DE1923">
            <w:pPr>
              <w:tabs>
                <w:tab w:val="center" w:pos="4252"/>
              </w:tabs>
              <w:jc w:val="left"/>
              <w:rPr>
                <w:sz w:val="22"/>
              </w:rPr>
            </w:pPr>
            <w:r>
              <w:rPr>
                <w:noProof/>
              </w:rPr>
              <w:pict w14:anchorId="2F096EC2">
                <v:rect id="Rectangle 1" o:spid="_x0000_s1027" style="position:absolute;margin-left:143.85pt;margin-top:1.1pt;width:73.45pt;height:13.9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" filled="f" strokeweight="1pt"/>
              </w:pict>
            </w:r>
            <w:r w:rsidR="00DE1923" w:rsidRPr="00E9475F">
              <w:rPr>
                <w:rFonts w:hint="eastAsia"/>
                <w:sz w:val="22"/>
              </w:rPr>
              <w:t>(4)</w:t>
            </w:r>
            <w:r w:rsidR="00DE1923">
              <w:rPr>
                <w:rFonts w:hint="eastAsia"/>
                <w:sz w:val="22"/>
              </w:rPr>
              <w:t xml:space="preserve">ナノテクノロジー・材料　</w:t>
            </w:r>
            <w:r w:rsidR="00DE1923" w:rsidRPr="00E9475F">
              <w:rPr>
                <w:rFonts w:hint="eastAsia"/>
                <w:sz w:val="22"/>
              </w:rPr>
              <w:t>(5)</w:t>
            </w:r>
            <w:r w:rsidR="00DE1923">
              <w:rPr>
                <w:rFonts w:hint="eastAsia"/>
                <w:sz w:val="22"/>
              </w:rPr>
              <w:t>ものづくり</w:t>
            </w:r>
            <w:r w:rsidR="00834AB4">
              <w:rPr>
                <w:rFonts w:hint="eastAsia"/>
                <w:sz w:val="22"/>
              </w:rPr>
              <w:t xml:space="preserve"> (6)</w:t>
            </w:r>
            <w:r w:rsidR="00834AB4">
              <w:rPr>
                <w:rFonts w:hint="eastAsia"/>
                <w:sz w:val="22"/>
              </w:rPr>
              <w:t>看工連携</w:t>
            </w:r>
            <w:r w:rsidR="00AF03D3" w:rsidRPr="00AF03D3">
              <w:rPr>
                <w:rFonts w:hint="eastAsia"/>
                <w:sz w:val="18"/>
              </w:rPr>
              <w:t>※</w:t>
            </w:r>
            <w:r w:rsidR="00AC3A42">
              <w:rPr>
                <w:rFonts w:hint="eastAsia"/>
                <w:sz w:val="18"/>
              </w:rPr>
              <w:t>¹</w:t>
            </w:r>
          </w:p>
        </w:tc>
      </w:tr>
      <w:tr w:rsidR="001A5DDD" w:rsidTr="001A5DDD">
        <w:trPr>
          <w:cantSplit/>
          <w:trHeight w:val="144"/>
        </w:trPr>
        <w:tc>
          <w:tcPr>
            <w:tcW w:w="1528" w:type="dxa"/>
            <w:tcBorders>
              <w:top w:val="dashed" w:sz="4" w:space="0" w:color="auto"/>
            </w:tcBorders>
          </w:tcPr>
          <w:p w:rsidR="001A5DDD" w:rsidRDefault="001A5DDD" w:rsidP="001A5DDD">
            <w:pPr>
              <w:tabs>
                <w:tab w:val="center" w:pos="4252"/>
              </w:tabs>
              <w:jc w:val="right"/>
              <w:rPr>
                <w:sz w:val="22"/>
              </w:rPr>
            </w:pPr>
            <w:r>
              <w:rPr>
                <w:rFonts w:hint="eastAsia"/>
                <w:sz w:val="22"/>
              </w:rPr>
              <w:t>第二希望</w:t>
            </w:r>
          </w:p>
        </w:tc>
        <w:tc>
          <w:tcPr>
            <w:tcW w:w="8308" w:type="dxa"/>
            <w:gridSpan w:val="11"/>
            <w:tcBorders>
              <w:top w:val="dashed" w:sz="4" w:space="0" w:color="auto"/>
            </w:tcBorders>
          </w:tcPr>
          <w:p w:rsidR="001A5DDD" w:rsidRDefault="001A5DDD" w:rsidP="001A5DDD">
            <w:pPr>
              <w:tabs>
                <w:tab w:val="center" w:pos="4252"/>
              </w:tabs>
              <w:jc w:val="left"/>
              <w:rPr>
                <w:sz w:val="22"/>
              </w:rPr>
            </w:pPr>
            <w:r w:rsidRPr="00E9475F">
              <w:rPr>
                <w:rFonts w:hint="eastAsia"/>
                <w:sz w:val="22"/>
              </w:rPr>
              <w:t>(1)</w:t>
            </w:r>
            <w:r>
              <w:rPr>
                <w:rFonts w:hint="eastAsia"/>
                <w:sz w:val="22"/>
              </w:rPr>
              <w:t>バイオ・</w:t>
            </w:r>
            <w:r w:rsidRPr="00E9475F">
              <w:rPr>
                <w:rFonts w:hint="eastAsia"/>
                <w:sz w:val="22"/>
              </w:rPr>
              <w:t>ライフサイエンス</w:t>
            </w:r>
            <w:r>
              <w:rPr>
                <w:rFonts w:hint="eastAsia"/>
                <w:sz w:val="22"/>
              </w:rPr>
              <w:t xml:space="preserve">　</w:t>
            </w:r>
            <w:r w:rsidRPr="00E9475F">
              <w:rPr>
                <w:rFonts w:hint="eastAsia"/>
                <w:sz w:val="22"/>
              </w:rPr>
              <w:t>(2)</w:t>
            </w:r>
            <w:r w:rsidRPr="00E9475F">
              <w:rPr>
                <w:rFonts w:hint="eastAsia"/>
                <w:sz w:val="22"/>
              </w:rPr>
              <w:t>情報通信</w:t>
            </w:r>
            <w:r>
              <w:rPr>
                <w:rFonts w:hint="eastAsia"/>
                <w:sz w:val="22"/>
              </w:rPr>
              <w:t xml:space="preserve">　</w:t>
            </w:r>
            <w:r w:rsidRPr="00E9475F">
              <w:rPr>
                <w:rFonts w:hint="eastAsia"/>
                <w:sz w:val="22"/>
              </w:rPr>
              <w:t>(3)</w:t>
            </w:r>
            <w:r w:rsidRPr="00E9475F">
              <w:rPr>
                <w:rFonts w:hint="eastAsia"/>
                <w:sz w:val="22"/>
              </w:rPr>
              <w:t>環境・エネルギー</w:t>
            </w:r>
          </w:p>
          <w:p w:rsidR="001A5DDD" w:rsidRPr="00E9475F" w:rsidRDefault="001A5DDD" w:rsidP="001A5DDD">
            <w:pPr>
              <w:tabs>
                <w:tab w:val="center" w:pos="4252"/>
              </w:tabs>
              <w:jc w:val="left"/>
              <w:rPr>
                <w:sz w:val="22"/>
              </w:rPr>
            </w:pPr>
            <w:r w:rsidRPr="00E9475F">
              <w:rPr>
                <w:rFonts w:hint="eastAsia"/>
                <w:sz w:val="22"/>
              </w:rPr>
              <w:t>(4)</w:t>
            </w:r>
            <w:r>
              <w:rPr>
                <w:rFonts w:hint="eastAsia"/>
                <w:sz w:val="22"/>
              </w:rPr>
              <w:t xml:space="preserve">ナノテクノロジー・材料　</w:t>
            </w:r>
            <w:r w:rsidRPr="00E9475F">
              <w:rPr>
                <w:rFonts w:hint="eastAsia"/>
                <w:sz w:val="22"/>
              </w:rPr>
              <w:t>(5)</w:t>
            </w:r>
            <w:r>
              <w:rPr>
                <w:rFonts w:hint="eastAsia"/>
                <w:sz w:val="22"/>
              </w:rPr>
              <w:t>ものづくり</w:t>
            </w:r>
            <w:r w:rsidR="00834AB4">
              <w:rPr>
                <w:rFonts w:hint="eastAsia"/>
                <w:sz w:val="22"/>
              </w:rPr>
              <w:t xml:space="preserve"> (6)</w:t>
            </w:r>
            <w:r w:rsidR="00834AB4">
              <w:rPr>
                <w:rFonts w:hint="eastAsia"/>
                <w:sz w:val="22"/>
              </w:rPr>
              <w:t>看工連携</w:t>
            </w:r>
            <w:r w:rsidR="00AF03D3" w:rsidRPr="00AF03D3">
              <w:rPr>
                <w:rFonts w:hint="eastAsia"/>
                <w:sz w:val="18"/>
              </w:rPr>
              <w:t>※</w:t>
            </w:r>
            <w:r w:rsidR="00AC3A42">
              <w:rPr>
                <w:rFonts w:hint="eastAsia"/>
                <w:sz w:val="18"/>
              </w:rPr>
              <w:t>¹</w:t>
            </w:r>
          </w:p>
        </w:tc>
      </w:tr>
      <w:tr w:rsidR="005B3369" w:rsidTr="00B83EF0">
        <w:trPr>
          <w:cantSplit/>
          <w:trHeight w:val="467"/>
        </w:trPr>
        <w:tc>
          <w:tcPr>
            <w:tcW w:w="1528" w:type="dxa"/>
          </w:tcPr>
          <w:p w:rsidR="005B3369" w:rsidRDefault="005B3369">
            <w:pPr>
              <w:tabs>
                <w:tab w:val="center" w:pos="4252"/>
              </w:tabs>
              <w:jc w:val="left"/>
              <w:rPr>
                <w:sz w:val="22"/>
              </w:rPr>
            </w:pPr>
            <w:r>
              <w:rPr>
                <w:rFonts w:hint="eastAsia"/>
                <w:sz w:val="22"/>
              </w:rPr>
              <w:t>3</w:t>
            </w:r>
            <w:r>
              <w:rPr>
                <w:rFonts w:hint="eastAsia"/>
                <w:sz w:val="22"/>
              </w:rPr>
              <w:t>研究テーマ</w:t>
            </w:r>
          </w:p>
        </w:tc>
        <w:tc>
          <w:tcPr>
            <w:tcW w:w="8308" w:type="dxa"/>
            <w:gridSpan w:val="11"/>
            <w:vAlign w:val="center"/>
          </w:tcPr>
          <w:p w:rsidR="005B3369" w:rsidRDefault="00B83EF0" w:rsidP="00B83EF0">
            <w:pPr>
              <w:tabs>
                <w:tab w:val="center" w:pos="4252"/>
              </w:tabs>
              <w:jc w:val="center"/>
              <w:rPr>
                <w:sz w:val="22"/>
              </w:rPr>
            </w:pPr>
            <w:r>
              <w:rPr>
                <w:sz w:val="22"/>
              </w:rPr>
              <w:t>DEA</w:t>
            </w:r>
            <w:r>
              <w:rPr>
                <w:rFonts w:hint="eastAsia"/>
                <w:sz w:val="22"/>
              </w:rPr>
              <w:t>ゲームによる</w:t>
            </w:r>
            <w:r w:rsidR="00AC5167">
              <w:rPr>
                <w:rFonts w:hint="eastAsia"/>
                <w:sz w:val="22"/>
              </w:rPr>
              <w:t>リスク対応レジリエンス指向の生産</w:t>
            </w:r>
            <w:r w:rsidR="00980227">
              <w:rPr>
                <w:rFonts w:hint="eastAsia"/>
                <w:sz w:val="22"/>
              </w:rPr>
              <w:t>効率化の実現</w:t>
            </w:r>
          </w:p>
        </w:tc>
      </w:tr>
      <w:tr w:rsidR="00C509B2" w:rsidTr="00CD1DC7">
        <w:trPr>
          <w:cantSplit/>
          <w:trHeight w:val="558"/>
        </w:trPr>
        <w:tc>
          <w:tcPr>
            <w:tcW w:w="2799" w:type="dxa"/>
            <w:gridSpan w:val="3"/>
          </w:tcPr>
          <w:p w:rsidR="00C509B2" w:rsidRDefault="00C509B2" w:rsidP="00C509B2">
            <w:pPr>
              <w:tabs>
                <w:tab w:val="center" w:pos="4252"/>
              </w:tabs>
              <w:jc w:val="left"/>
              <w:rPr>
                <w:sz w:val="22"/>
              </w:rPr>
            </w:pPr>
            <w:r>
              <w:rPr>
                <w:rFonts w:hint="eastAsia"/>
                <w:sz w:val="22"/>
              </w:rPr>
              <w:t>4.</w:t>
            </w:r>
            <w:r>
              <w:rPr>
                <w:rFonts w:hint="eastAsia"/>
                <w:sz w:val="22"/>
              </w:rPr>
              <w:t>共同研究者</w:t>
            </w:r>
          </w:p>
          <w:p w:rsidR="00C509B2" w:rsidRDefault="00C509B2" w:rsidP="00C509B2">
            <w:pPr>
              <w:tabs>
                <w:tab w:val="center" w:pos="4252"/>
              </w:tabs>
              <w:jc w:val="left"/>
              <w:rPr>
                <w:sz w:val="22"/>
              </w:rPr>
            </w:pPr>
            <w:r>
              <w:rPr>
                <w:rFonts w:hint="eastAsia"/>
                <w:sz w:val="22"/>
              </w:rPr>
              <w:t>（学科名・職・氏名）</w:t>
            </w:r>
          </w:p>
        </w:tc>
        <w:tc>
          <w:tcPr>
            <w:tcW w:w="7037" w:type="dxa"/>
            <w:gridSpan w:val="9"/>
            <w:vAlign w:val="center"/>
          </w:tcPr>
          <w:p w:rsidR="00C509B2" w:rsidRDefault="00C509B2" w:rsidP="00C509B2">
            <w:pPr>
              <w:tabs>
                <w:tab w:val="center" w:pos="4252"/>
              </w:tabs>
              <w:jc w:val="center"/>
              <w:rPr>
                <w:sz w:val="22"/>
              </w:rPr>
            </w:pPr>
          </w:p>
        </w:tc>
      </w:tr>
      <w:tr w:rsidR="00C509B2" w:rsidTr="001A5DDD">
        <w:trPr>
          <w:cantSplit/>
          <w:trHeight w:val="1398"/>
        </w:trPr>
        <w:tc>
          <w:tcPr>
            <w:tcW w:w="1528" w:type="dxa"/>
          </w:tcPr>
          <w:p w:rsidR="00C509B2" w:rsidRDefault="00C509B2" w:rsidP="00C509B2">
            <w:pPr>
              <w:tabs>
                <w:tab w:val="center" w:pos="4252"/>
              </w:tabs>
              <w:jc w:val="left"/>
              <w:rPr>
                <w:sz w:val="22"/>
              </w:rPr>
            </w:pPr>
            <w:r>
              <w:rPr>
                <w:rFonts w:hint="eastAsia"/>
                <w:sz w:val="22"/>
              </w:rPr>
              <w:t>5.</w:t>
            </w:r>
            <w:r>
              <w:rPr>
                <w:rFonts w:hint="eastAsia"/>
                <w:sz w:val="22"/>
              </w:rPr>
              <w:t>研究目的</w:t>
            </w:r>
          </w:p>
        </w:tc>
        <w:tc>
          <w:tcPr>
            <w:tcW w:w="8308" w:type="dxa"/>
            <w:gridSpan w:val="11"/>
          </w:tcPr>
          <w:p w:rsidR="00C509B2" w:rsidRDefault="00C509B2" w:rsidP="00C509B2">
            <w:pPr>
              <w:tabs>
                <w:tab w:val="center" w:pos="4252"/>
              </w:tabs>
              <w:jc w:val="left"/>
              <w:rPr>
                <w:sz w:val="22"/>
              </w:rPr>
            </w:pPr>
            <w:r>
              <w:rPr>
                <w:rFonts w:hint="eastAsia"/>
                <w:sz w:val="22"/>
              </w:rPr>
              <w:t>（研究の目的・ねらい）</w:t>
            </w:r>
          </w:p>
          <w:p w:rsidR="002572F6" w:rsidRPr="002572F6" w:rsidRDefault="00CB05BB" w:rsidP="00C509B2">
            <w:pPr>
              <w:tabs>
                <w:tab w:val="center" w:pos="4252"/>
              </w:tabs>
              <w:jc w:val="left"/>
              <w:rPr>
                <w:sz w:val="22"/>
              </w:rPr>
            </w:pPr>
            <w:r>
              <w:rPr>
                <w:rFonts w:hint="eastAsia"/>
                <w:sz w:val="22"/>
              </w:rPr>
              <w:t>提携型ゲームの</w:t>
            </w:r>
            <w:r w:rsidR="002572F6" w:rsidRPr="002572F6">
              <w:rPr>
                <w:rFonts w:hint="eastAsia"/>
                <w:sz w:val="22"/>
              </w:rPr>
              <w:t>シャープレイ値</w:t>
            </w:r>
            <w:r>
              <w:rPr>
                <w:rFonts w:hint="eastAsia"/>
                <w:sz w:val="22"/>
              </w:rPr>
              <w:t>の概念をリスク</w:t>
            </w:r>
            <w:r w:rsidR="002572F6" w:rsidRPr="002572F6">
              <w:rPr>
                <w:rFonts w:hint="eastAsia"/>
                <w:sz w:val="22"/>
              </w:rPr>
              <w:t>配分に</w:t>
            </w:r>
            <w:r>
              <w:rPr>
                <w:rFonts w:hint="eastAsia"/>
                <w:sz w:val="22"/>
              </w:rPr>
              <w:t>適用する</w:t>
            </w:r>
            <w:r w:rsidR="002572F6" w:rsidRPr="002572F6">
              <w:rPr>
                <w:rFonts w:hint="eastAsia"/>
                <w:sz w:val="22"/>
              </w:rPr>
              <w:t>生産計画モデルをベースに，</w:t>
            </w:r>
            <w:r w:rsidR="00980227">
              <w:rPr>
                <w:rFonts w:hint="eastAsia"/>
                <w:sz w:val="22"/>
              </w:rPr>
              <w:t>D</w:t>
            </w:r>
            <w:r w:rsidR="00980227">
              <w:rPr>
                <w:sz w:val="22"/>
              </w:rPr>
              <w:t>EA(Data Envelopment Analysis)</w:t>
            </w:r>
            <w:r w:rsidR="00980227">
              <w:rPr>
                <w:rFonts w:hint="eastAsia"/>
                <w:sz w:val="22"/>
              </w:rPr>
              <w:t>の併用によるリスク対応レジリエンス指向</w:t>
            </w:r>
            <w:r w:rsidR="002572F6" w:rsidRPr="003016A6">
              <w:rPr>
                <w:rFonts w:hint="eastAsia"/>
                <w:sz w:val="22"/>
              </w:rPr>
              <w:t>の</w:t>
            </w:r>
            <w:r w:rsidR="00CD1DC7">
              <w:rPr>
                <w:rFonts w:hint="eastAsia"/>
                <w:sz w:val="22"/>
              </w:rPr>
              <w:t>新しい</w:t>
            </w:r>
            <w:r w:rsidR="00980227">
              <w:rPr>
                <w:rFonts w:hint="eastAsia"/>
                <w:sz w:val="22"/>
              </w:rPr>
              <w:t>手法</w:t>
            </w:r>
            <w:r w:rsidR="002572F6" w:rsidRPr="002572F6">
              <w:rPr>
                <w:rFonts w:hint="eastAsia"/>
                <w:sz w:val="22"/>
              </w:rPr>
              <w:t>を</w:t>
            </w:r>
            <w:r w:rsidR="00CD1DC7">
              <w:rPr>
                <w:rFonts w:hint="eastAsia"/>
                <w:sz w:val="22"/>
              </w:rPr>
              <w:t>理論的に</w:t>
            </w:r>
            <w:r w:rsidR="002D54F3">
              <w:rPr>
                <w:rFonts w:hint="eastAsia"/>
                <w:sz w:val="22"/>
              </w:rPr>
              <w:t>導出</w:t>
            </w:r>
            <w:r w:rsidR="002572F6" w:rsidRPr="002572F6">
              <w:rPr>
                <w:rFonts w:hint="eastAsia"/>
                <w:sz w:val="22"/>
              </w:rPr>
              <w:t>するとともに，</w:t>
            </w:r>
            <w:r w:rsidR="002D54F3" w:rsidRPr="002D54F3">
              <w:rPr>
                <w:rFonts w:hint="eastAsia"/>
                <w:sz w:val="22"/>
              </w:rPr>
              <w:t>製造面，原材料調達面</w:t>
            </w:r>
            <w:r w:rsidR="002D54F3">
              <w:rPr>
                <w:rFonts w:hint="eastAsia"/>
                <w:sz w:val="22"/>
              </w:rPr>
              <w:t>に</w:t>
            </w:r>
            <w:r w:rsidR="00980227">
              <w:rPr>
                <w:rFonts w:hint="eastAsia"/>
                <w:sz w:val="22"/>
              </w:rPr>
              <w:t>影響される生産効率</w:t>
            </w:r>
            <w:r w:rsidR="002D54F3" w:rsidRPr="002D54F3">
              <w:rPr>
                <w:rFonts w:hint="eastAsia"/>
                <w:sz w:val="22"/>
              </w:rPr>
              <w:t>が</w:t>
            </w:r>
            <w:r w:rsidR="00980227">
              <w:rPr>
                <w:rFonts w:hint="eastAsia"/>
                <w:sz w:val="22"/>
              </w:rPr>
              <w:t>向上する</w:t>
            </w:r>
            <w:r w:rsidR="002D54F3">
              <w:rPr>
                <w:rFonts w:hint="eastAsia"/>
                <w:sz w:val="22"/>
              </w:rPr>
              <w:t>在庫補充政策が得られるツールの開発を行う．</w:t>
            </w:r>
          </w:p>
        </w:tc>
      </w:tr>
      <w:tr w:rsidR="00C509B2" w:rsidTr="001A5DDD">
        <w:trPr>
          <w:cantSplit/>
          <w:trHeight w:val="1404"/>
        </w:trPr>
        <w:tc>
          <w:tcPr>
            <w:tcW w:w="1528" w:type="dxa"/>
          </w:tcPr>
          <w:p w:rsidR="00C509B2" w:rsidRDefault="00C509B2" w:rsidP="00C509B2">
            <w:pPr>
              <w:tabs>
                <w:tab w:val="center" w:pos="4252"/>
              </w:tabs>
              <w:jc w:val="left"/>
              <w:rPr>
                <w:sz w:val="22"/>
              </w:rPr>
            </w:pPr>
            <w:r>
              <w:rPr>
                <w:rFonts w:hint="eastAsia"/>
                <w:sz w:val="22"/>
              </w:rPr>
              <w:t>6.</w:t>
            </w:r>
            <w:r>
              <w:rPr>
                <w:rFonts w:hint="eastAsia"/>
                <w:sz w:val="22"/>
              </w:rPr>
              <w:t>新規性､</w:t>
            </w:r>
          </w:p>
          <w:p w:rsidR="00C509B2" w:rsidRDefault="00C509B2" w:rsidP="00C509B2">
            <w:pPr>
              <w:tabs>
                <w:tab w:val="center" w:pos="4252"/>
              </w:tabs>
              <w:jc w:val="left"/>
              <w:rPr>
                <w:sz w:val="22"/>
              </w:rPr>
            </w:pPr>
            <w:r>
              <w:rPr>
                <w:rFonts w:hint="eastAsia"/>
                <w:sz w:val="22"/>
              </w:rPr>
              <w:t xml:space="preserve">　独創性</w:t>
            </w:r>
          </w:p>
        </w:tc>
        <w:tc>
          <w:tcPr>
            <w:tcW w:w="8308" w:type="dxa"/>
            <w:gridSpan w:val="11"/>
          </w:tcPr>
          <w:p w:rsidR="00C509B2" w:rsidRDefault="007933F4" w:rsidP="00C509B2">
            <w:pPr>
              <w:widowControl/>
              <w:jc w:val="left"/>
              <w:rPr>
                <w:sz w:val="22"/>
              </w:rPr>
            </w:pPr>
            <w:r>
              <w:rPr>
                <w:rFonts w:hint="eastAsia"/>
                <w:sz w:val="22"/>
              </w:rPr>
              <w:t>（</w:t>
            </w:r>
            <w:r w:rsidR="00C509B2">
              <w:rPr>
                <w:rFonts w:hint="eastAsia"/>
                <w:sz w:val="22"/>
              </w:rPr>
              <w:t>当該技術の先進性・独創性・優位性など</w:t>
            </w:r>
            <w:r w:rsidR="00C509B2">
              <w:rPr>
                <w:rFonts w:hint="eastAsia"/>
                <w:sz w:val="22"/>
              </w:rPr>
              <w:t>)</w:t>
            </w:r>
          </w:p>
          <w:p w:rsidR="00C509B2" w:rsidRPr="00B82F5E" w:rsidRDefault="00B82F5E" w:rsidP="00B82F5E">
            <w:pPr>
              <w:widowControl/>
              <w:jc w:val="left"/>
              <w:rPr>
                <w:sz w:val="22"/>
              </w:rPr>
            </w:pPr>
            <w:r w:rsidRPr="00B82F5E">
              <w:rPr>
                <w:rFonts w:hint="eastAsia"/>
                <w:sz w:val="22"/>
              </w:rPr>
              <w:t>従来の「確率で表現される目標値を制約にする方法」ではなく，信頼水準を所与としてリスク評価尺度に</w:t>
            </w:r>
            <w:proofErr w:type="spellStart"/>
            <w:r>
              <w:t>AVaR</w:t>
            </w:r>
            <w:proofErr w:type="spellEnd"/>
            <w:r>
              <w:t>(Average value-at-risk)</w:t>
            </w:r>
            <w:r w:rsidRPr="00B82F5E">
              <w:rPr>
                <w:rFonts w:hint="eastAsia"/>
                <w:sz w:val="22"/>
              </w:rPr>
              <w:t>を用い</w:t>
            </w:r>
            <w:r>
              <w:rPr>
                <w:rFonts w:hint="eastAsia"/>
                <w:sz w:val="22"/>
              </w:rPr>
              <w:t>た全く新しい</w:t>
            </w:r>
            <w:r w:rsidRPr="00B82F5E">
              <w:rPr>
                <w:rFonts w:hint="eastAsia"/>
                <w:sz w:val="22"/>
              </w:rPr>
              <w:t>，計画期間全体の想定される需要量を厳守するという意味で，「需要量のトータルな想定値を重視する</w:t>
            </w:r>
            <w:r w:rsidR="002D54F3">
              <w:rPr>
                <w:rFonts w:hint="eastAsia"/>
                <w:sz w:val="22"/>
              </w:rPr>
              <w:t>方法</w:t>
            </w:r>
            <w:r w:rsidRPr="00B82F5E">
              <w:rPr>
                <w:rFonts w:hint="eastAsia"/>
                <w:sz w:val="22"/>
              </w:rPr>
              <w:t>」</w:t>
            </w:r>
            <w:r w:rsidR="002D54F3">
              <w:rPr>
                <w:rFonts w:hint="eastAsia"/>
                <w:sz w:val="22"/>
              </w:rPr>
              <w:t>に基づく生産計画モデルが創造される．</w:t>
            </w:r>
          </w:p>
        </w:tc>
      </w:tr>
      <w:tr w:rsidR="00C509B2" w:rsidTr="00CD1DC7">
        <w:trPr>
          <w:cantSplit/>
          <w:trHeight w:val="1296"/>
        </w:trPr>
        <w:tc>
          <w:tcPr>
            <w:tcW w:w="1528" w:type="dxa"/>
            <w:tcBorders>
              <w:bottom w:val="single" w:sz="4" w:space="0" w:color="auto"/>
            </w:tcBorders>
          </w:tcPr>
          <w:p w:rsidR="00C509B2" w:rsidRDefault="00C509B2" w:rsidP="00C509B2">
            <w:pPr>
              <w:tabs>
                <w:tab w:val="center" w:pos="4252"/>
              </w:tabs>
              <w:jc w:val="left"/>
              <w:rPr>
                <w:sz w:val="22"/>
              </w:rPr>
            </w:pPr>
            <w:r>
              <w:rPr>
                <w:rFonts w:hint="eastAsia"/>
                <w:sz w:val="22"/>
              </w:rPr>
              <w:t>7.</w:t>
            </w:r>
            <w:r>
              <w:rPr>
                <w:rFonts w:hint="eastAsia"/>
                <w:sz w:val="22"/>
              </w:rPr>
              <w:t>波及効果</w:t>
            </w:r>
          </w:p>
          <w:p w:rsidR="00C509B2" w:rsidRDefault="00C509B2" w:rsidP="00C509B2">
            <w:pPr>
              <w:tabs>
                <w:tab w:val="center" w:pos="4252"/>
              </w:tabs>
              <w:jc w:val="left"/>
              <w:rPr>
                <w:sz w:val="22"/>
              </w:rPr>
            </w:pPr>
          </w:p>
        </w:tc>
        <w:tc>
          <w:tcPr>
            <w:tcW w:w="8308" w:type="dxa"/>
            <w:gridSpan w:val="11"/>
            <w:tcBorders>
              <w:bottom w:val="single" w:sz="4" w:space="0" w:color="auto"/>
            </w:tcBorders>
          </w:tcPr>
          <w:p w:rsidR="00C509B2" w:rsidRDefault="00C509B2" w:rsidP="00C509B2">
            <w:pPr>
              <w:tabs>
                <w:tab w:val="center" w:pos="4252"/>
              </w:tabs>
              <w:jc w:val="left"/>
              <w:rPr>
                <w:sz w:val="22"/>
              </w:rPr>
            </w:pPr>
            <w:r>
              <w:rPr>
                <w:rFonts w:hint="eastAsia"/>
                <w:sz w:val="22"/>
              </w:rPr>
              <w:t>（期待される成果・効果､地域への貢献､産業界へのインパクトなど）</w:t>
            </w:r>
          </w:p>
          <w:p w:rsidR="00B82F5E" w:rsidRPr="00B82F5E" w:rsidRDefault="00B82F5E" w:rsidP="00C509B2">
            <w:pPr>
              <w:tabs>
                <w:tab w:val="center" w:pos="4252"/>
              </w:tabs>
              <w:jc w:val="left"/>
              <w:rPr>
                <w:sz w:val="22"/>
              </w:rPr>
            </w:pPr>
            <w:r w:rsidRPr="00B82F5E">
              <w:rPr>
                <w:rFonts w:hint="eastAsia"/>
                <w:sz w:val="22"/>
              </w:rPr>
              <w:t>近年</w:t>
            </w:r>
            <w:r w:rsidR="002D54F3">
              <w:rPr>
                <w:rFonts w:hint="eastAsia"/>
                <w:sz w:val="22"/>
              </w:rPr>
              <w:t>では</w:t>
            </w:r>
            <w:r w:rsidRPr="00B82F5E">
              <w:rPr>
                <w:rFonts w:hint="eastAsia"/>
                <w:sz w:val="22"/>
              </w:rPr>
              <w:t>，環境変化，不確実性など日常的なリスクへの対応が重要である</w:t>
            </w:r>
            <w:r w:rsidR="00CD1DC7">
              <w:rPr>
                <w:rFonts w:hint="eastAsia"/>
                <w:sz w:val="22"/>
              </w:rPr>
              <w:t>．</w:t>
            </w:r>
            <w:r w:rsidRPr="00B82F5E">
              <w:rPr>
                <w:rFonts w:hint="eastAsia"/>
                <w:sz w:val="22"/>
              </w:rPr>
              <w:t>とりわけ生産管理分野</w:t>
            </w:r>
            <w:r w:rsidR="002D54F3">
              <w:rPr>
                <w:rFonts w:hint="eastAsia"/>
                <w:sz w:val="22"/>
              </w:rPr>
              <w:t>で</w:t>
            </w:r>
            <w:r w:rsidRPr="00B82F5E">
              <w:rPr>
                <w:rFonts w:hint="eastAsia"/>
                <w:sz w:val="22"/>
              </w:rPr>
              <w:t>は不確実な注文に対する在庫不充当がリスクと考えられ，これを考慮した</w:t>
            </w:r>
            <w:r w:rsidR="00D41981" w:rsidRPr="005B5744">
              <w:rPr>
                <w:rFonts w:hint="eastAsia"/>
                <w:kern w:val="0"/>
                <w:sz w:val="22"/>
                <w:szCs w:val="22"/>
              </w:rPr>
              <w:t>レジリエンス</w:t>
            </w:r>
            <w:r w:rsidR="00D41981" w:rsidRPr="005B5744">
              <w:rPr>
                <w:rFonts w:hint="eastAsia"/>
                <w:kern w:val="0"/>
                <w:sz w:val="22"/>
                <w:szCs w:val="22"/>
              </w:rPr>
              <w:t xml:space="preserve"> (</w:t>
            </w:r>
            <w:r w:rsidR="00D41981" w:rsidRPr="005B5744">
              <w:rPr>
                <w:rFonts w:hint="eastAsia"/>
                <w:kern w:val="0"/>
                <w:sz w:val="22"/>
                <w:szCs w:val="22"/>
              </w:rPr>
              <w:t>しなやかな回復力</w:t>
            </w:r>
            <w:r w:rsidR="00D41981" w:rsidRPr="005B5744">
              <w:rPr>
                <w:rFonts w:hint="eastAsia"/>
                <w:kern w:val="0"/>
                <w:sz w:val="22"/>
                <w:szCs w:val="22"/>
              </w:rPr>
              <w:t>)</w:t>
            </w:r>
            <w:r w:rsidR="00D41981">
              <w:rPr>
                <w:rFonts w:hint="eastAsia"/>
                <w:kern w:val="0"/>
                <w:sz w:val="22"/>
                <w:szCs w:val="22"/>
              </w:rPr>
              <w:t>な</w:t>
            </w:r>
            <w:r w:rsidRPr="00B82F5E">
              <w:rPr>
                <w:rFonts w:hint="eastAsia"/>
                <w:sz w:val="22"/>
              </w:rPr>
              <w:t>生産計画モデルの確立</w:t>
            </w:r>
            <w:r w:rsidR="002D54F3">
              <w:rPr>
                <w:rFonts w:hint="eastAsia"/>
                <w:sz w:val="22"/>
              </w:rPr>
              <w:t>は急務である．</w:t>
            </w:r>
          </w:p>
        </w:tc>
      </w:tr>
      <w:tr w:rsidR="00C509B2" w:rsidTr="00CD1DC7">
        <w:trPr>
          <w:cantSplit/>
          <w:trHeight w:val="974"/>
        </w:trPr>
        <w:tc>
          <w:tcPr>
            <w:tcW w:w="1528" w:type="dxa"/>
            <w:tcBorders>
              <w:bottom w:val="single" w:sz="4" w:space="0" w:color="auto"/>
            </w:tcBorders>
          </w:tcPr>
          <w:p w:rsidR="00C509B2" w:rsidRDefault="00C509B2" w:rsidP="00C509B2">
            <w:pPr>
              <w:tabs>
                <w:tab w:val="center" w:pos="4252"/>
              </w:tabs>
              <w:jc w:val="left"/>
              <w:rPr>
                <w:sz w:val="22"/>
              </w:rPr>
            </w:pPr>
            <w:r>
              <w:rPr>
                <w:rFonts w:hint="eastAsia"/>
                <w:sz w:val="22"/>
              </w:rPr>
              <w:t>8.</w:t>
            </w:r>
            <w:r>
              <w:rPr>
                <w:rFonts w:hint="eastAsia"/>
                <w:sz w:val="22"/>
              </w:rPr>
              <w:t>実用化の</w:t>
            </w:r>
          </w:p>
          <w:p w:rsidR="00C509B2" w:rsidRDefault="00C509B2" w:rsidP="00C509B2">
            <w:pPr>
              <w:tabs>
                <w:tab w:val="center" w:pos="4252"/>
              </w:tabs>
              <w:ind w:firstLineChars="100" w:firstLine="220"/>
              <w:jc w:val="left"/>
              <w:rPr>
                <w:sz w:val="22"/>
              </w:rPr>
            </w:pPr>
            <w:r>
              <w:rPr>
                <w:rFonts w:hint="eastAsia"/>
                <w:sz w:val="22"/>
              </w:rPr>
              <w:t>見通し</w:t>
            </w:r>
          </w:p>
          <w:p w:rsidR="00C509B2" w:rsidRDefault="00C509B2" w:rsidP="00C509B2">
            <w:pPr>
              <w:tabs>
                <w:tab w:val="center" w:pos="4252"/>
              </w:tabs>
              <w:jc w:val="left"/>
              <w:rPr>
                <w:sz w:val="22"/>
              </w:rPr>
            </w:pPr>
          </w:p>
        </w:tc>
        <w:tc>
          <w:tcPr>
            <w:tcW w:w="8308" w:type="dxa"/>
            <w:gridSpan w:val="11"/>
            <w:tcBorders>
              <w:bottom w:val="single" w:sz="4" w:space="0" w:color="auto"/>
            </w:tcBorders>
          </w:tcPr>
          <w:p w:rsidR="00C509B2" w:rsidRDefault="00C509B2" w:rsidP="00C509B2">
            <w:pPr>
              <w:tabs>
                <w:tab w:val="center" w:pos="4252"/>
              </w:tabs>
              <w:jc w:val="left"/>
              <w:rPr>
                <w:sz w:val="22"/>
              </w:rPr>
            </w:pPr>
            <w:r>
              <w:rPr>
                <w:rFonts w:hint="eastAsia"/>
                <w:sz w:val="22"/>
              </w:rPr>
              <w:t>（実用化に向けて解決すべき課題､実用化までの期間､既得特許など）</w:t>
            </w:r>
          </w:p>
          <w:p w:rsidR="002D54F3" w:rsidRDefault="002D54F3" w:rsidP="00C509B2">
            <w:pPr>
              <w:tabs>
                <w:tab w:val="center" w:pos="4252"/>
              </w:tabs>
              <w:jc w:val="left"/>
              <w:rPr>
                <w:sz w:val="22"/>
              </w:rPr>
            </w:pPr>
            <w:r>
              <w:rPr>
                <w:rFonts w:hint="eastAsia"/>
                <w:sz w:val="22"/>
              </w:rPr>
              <w:t>信用水準という新しいリスク評価尺度による在庫補充政策をツールとして実現</w:t>
            </w:r>
            <w:r w:rsidR="00CD1DC7">
              <w:rPr>
                <w:rFonts w:hint="eastAsia"/>
                <w:sz w:val="22"/>
              </w:rPr>
              <w:t>した上で，</w:t>
            </w:r>
            <w:r>
              <w:rPr>
                <w:rFonts w:hint="eastAsia"/>
                <w:sz w:val="22"/>
              </w:rPr>
              <w:t>県内</w:t>
            </w:r>
            <w:r w:rsidR="00BF3EDC">
              <w:rPr>
                <w:rFonts w:hint="eastAsia"/>
                <w:sz w:val="22"/>
              </w:rPr>
              <w:t>協力</w:t>
            </w:r>
            <w:r>
              <w:rPr>
                <w:rFonts w:hint="eastAsia"/>
                <w:sz w:val="22"/>
              </w:rPr>
              <w:t>企業</w:t>
            </w:r>
            <w:r w:rsidR="00BF3EDC">
              <w:rPr>
                <w:rFonts w:hint="eastAsia"/>
                <w:sz w:val="22"/>
              </w:rPr>
              <w:t>での評価を経ることが実用化に向けた課題である．</w:t>
            </w:r>
          </w:p>
        </w:tc>
      </w:tr>
      <w:tr w:rsidR="00C509B2" w:rsidTr="001A5DDD">
        <w:trPr>
          <w:cantSplit/>
          <w:trHeight w:val="1549"/>
        </w:trPr>
        <w:tc>
          <w:tcPr>
            <w:tcW w:w="1528" w:type="dxa"/>
          </w:tcPr>
          <w:p w:rsidR="00C509B2" w:rsidRDefault="00C509B2" w:rsidP="00C509B2">
            <w:pPr>
              <w:tabs>
                <w:tab w:val="center" w:pos="4252"/>
              </w:tabs>
              <w:jc w:val="left"/>
              <w:rPr>
                <w:sz w:val="22"/>
              </w:rPr>
            </w:pPr>
            <w:r>
              <w:rPr>
                <w:rFonts w:hint="eastAsia"/>
                <w:sz w:val="22"/>
              </w:rPr>
              <w:t>9.</w:t>
            </w:r>
            <w:r>
              <w:rPr>
                <w:rFonts w:hint="eastAsia"/>
                <w:sz w:val="22"/>
              </w:rPr>
              <w:t>これまで</w:t>
            </w:r>
          </w:p>
          <w:p w:rsidR="00C509B2" w:rsidRDefault="00C509B2" w:rsidP="00C509B2">
            <w:pPr>
              <w:tabs>
                <w:tab w:val="center" w:pos="4252"/>
              </w:tabs>
              <w:ind w:firstLineChars="100" w:firstLine="220"/>
              <w:jc w:val="left"/>
              <w:rPr>
                <w:sz w:val="22"/>
              </w:rPr>
            </w:pPr>
            <w:r>
              <w:rPr>
                <w:rFonts w:hint="eastAsia"/>
                <w:sz w:val="22"/>
              </w:rPr>
              <w:t>の研究経緯</w:t>
            </w:r>
          </w:p>
          <w:p w:rsidR="00C509B2" w:rsidRDefault="00C509B2" w:rsidP="00C509B2">
            <w:pPr>
              <w:tabs>
                <w:tab w:val="center" w:pos="4252"/>
              </w:tabs>
              <w:ind w:firstLineChars="100" w:firstLine="220"/>
              <w:jc w:val="left"/>
              <w:rPr>
                <w:sz w:val="22"/>
              </w:rPr>
            </w:pPr>
            <w:r>
              <w:rPr>
                <w:rFonts w:hint="eastAsia"/>
                <w:sz w:val="22"/>
              </w:rPr>
              <w:t>・成果</w:t>
            </w:r>
          </w:p>
        </w:tc>
        <w:tc>
          <w:tcPr>
            <w:tcW w:w="8308" w:type="dxa"/>
            <w:gridSpan w:val="11"/>
          </w:tcPr>
          <w:p w:rsidR="00C509B2" w:rsidRDefault="00C509B2" w:rsidP="00C509B2">
            <w:pPr>
              <w:tabs>
                <w:tab w:val="center" w:pos="4252"/>
              </w:tabs>
              <w:jc w:val="left"/>
              <w:rPr>
                <w:sz w:val="22"/>
              </w:rPr>
            </w:pPr>
            <w:r>
              <w:rPr>
                <w:rFonts w:hint="eastAsia"/>
                <w:sz w:val="22"/>
              </w:rPr>
              <w:t>（研究テーマに関してこれまでの研究成果や共同研究の実績など）</w:t>
            </w:r>
          </w:p>
          <w:p w:rsidR="002572F6" w:rsidRPr="00B263E2" w:rsidRDefault="002572F6" w:rsidP="002572F6">
            <w:pPr>
              <w:widowControl/>
              <w:jc w:val="left"/>
              <w:rPr>
                <w:sz w:val="22"/>
                <w:szCs w:val="22"/>
              </w:rPr>
            </w:pPr>
            <w:r w:rsidRPr="00B263E2">
              <w:rPr>
                <w:rFonts w:ascii="ＭＳ 明朝" w:hAnsi="ＭＳ 明朝" w:hint="eastAsia"/>
                <w:color w:val="333333"/>
                <w:sz w:val="22"/>
                <w:szCs w:val="22"/>
                <w:shd w:val="clear" w:color="auto" w:fill="FFFFFF"/>
              </w:rPr>
              <w:t>International Journal of Japan Association for Management Systemsに掲載された“</w:t>
            </w:r>
            <w:r w:rsidRPr="00B263E2">
              <w:rPr>
                <w:rFonts w:ascii="ＭＳ 明朝" w:hAnsi="ＭＳ 明朝"/>
                <w:color w:val="333333"/>
                <w:sz w:val="22"/>
                <w:szCs w:val="22"/>
                <w:shd w:val="clear" w:color="auto" w:fill="FFFFFF"/>
              </w:rPr>
              <w:t>An Available Solution for Multi-period Production Planning with Constraints Based</w:t>
            </w:r>
            <w:r w:rsidRPr="00B263E2">
              <w:rPr>
                <w:rFonts w:ascii="ＭＳ 明朝" w:hAnsi="ＭＳ 明朝" w:hint="eastAsia"/>
                <w:color w:val="333333"/>
                <w:sz w:val="22"/>
                <w:szCs w:val="22"/>
                <w:shd w:val="clear" w:color="auto" w:fill="FFFFFF"/>
              </w:rPr>
              <w:t xml:space="preserve"> on Shapley Value”が</w:t>
            </w:r>
            <w:r w:rsidRPr="00B263E2">
              <w:rPr>
                <w:rFonts w:hint="eastAsia"/>
                <w:sz w:val="22"/>
                <w:szCs w:val="22"/>
              </w:rPr>
              <w:t>日本経営システム学会「論文奨励賞」を受賞し</w:t>
            </w:r>
            <w:r w:rsidR="00CB05BB" w:rsidRPr="00B263E2">
              <w:rPr>
                <w:rFonts w:hint="eastAsia"/>
                <w:sz w:val="22"/>
                <w:szCs w:val="22"/>
              </w:rPr>
              <w:t>ている</w:t>
            </w:r>
            <w:r w:rsidRPr="00B263E2">
              <w:rPr>
                <w:rFonts w:hint="eastAsia"/>
                <w:sz w:val="22"/>
                <w:szCs w:val="22"/>
              </w:rPr>
              <w:t>．</w:t>
            </w:r>
            <w:r w:rsidR="00CB05BB" w:rsidRPr="00B263E2">
              <w:rPr>
                <w:rFonts w:hint="eastAsia"/>
                <w:sz w:val="22"/>
                <w:szCs w:val="22"/>
              </w:rPr>
              <w:t>本研究はさらに発展させ，県内企業に貢献するものである．</w:t>
            </w:r>
          </w:p>
        </w:tc>
      </w:tr>
      <w:tr w:rsidR="00C509B2" w:rsidTr="00BF3EDC">
        <w:trPr>
          <w:cantSplit/>
          <w:trHeight w:val="2143"/>
        </w:trPr>
        <w:tc>
          <w:tcPr>
            <w:tcW w:w="1528" w:type="dxa"/>
          </w:tcPr>
          <w:p w:rsidR="00C509B2" w:rsidRDefault="00C509B2" w:rsidP="00C509B2">
            <w:pPr>
              <w:tabs>
                <w:tab w:val="center" w:pos="4252"/>
              </w:tabs>
              <w:ind w:rightChars="-47" w:right="-113"/>
              <w:jc w:val="left"/>
              <w:rPr>
                <w:sz w:val="22"/>
              </w:rPr>
            </w:pPr>
            <w:r>
              <w:rPr>
                <w:rFonts w:hint="eastAsia"/>
                <w:sz w:val="22"/>
              </w:rPr>
              <w:t>10.</w:t>
            </w:r>
            <w:r>
              <w:rPr>
                <w:rFonts w:hint="eastAsia"/>
                <w:sz w:val="22"/>
              </w:rPr>
              <w:t xml:space="preserve">国内外に　</w:t>
            </w:r>
          </w:p>
          <w:p w:rsidR="00C509B2" w:rsidRDefault="00C509B2" w:rsidP="00C509B2">
            <w:pPr>
              <w:tabs>
                <w:tab w:val="center" w:pos="4252"/>
              </w:tabs>
              <w:ind w:leftChars="105" w:left="252"/>
              <w:jc w:val="left"/>
              <w:rPr>
                <w:sz w:val="22"/>
              </w:rPr>
            </w:pPr>
            <w:r>
              <w:rPr>
                <w:rFonts w:hint="eastAsia"/>
                <w:sz w:val="22"/>
              </w:rPr>
              <w:t>おける研究状況</w:t>
            </w:r>
          </w:p>
          <w:p w:rsidR="00C509B2" w:rsidRDefault="00C509B2" w:rsidP="00C509B2">
            <w:pPr>
              <w:tabs>
                <w:tab w:val="center" w:pos="4252"/>
              </w:tabs>
              <w:jc w:val="left"/>
              <w:rPr>
                <w:sz w:val="22"/>
              </w:rPr>
            </w:pPr>
          </w:p>
        </w:tc>
        <w:tc>
          <w:tcPr>
            <w:tcW w:w="8308" w:type="dxa"/>
            <w:gridSpan w:val="11"/>
            <w:tcBorders>
              <w:bottom w:val="single" w:sz="4" w:space="0" w:color="auto"/>
            </w:tcBorders>
          </w:tcPr>
          <w:p w:rsidR="00C509B2" w:rsidRPr="00B263E2" w:rsidRDefault="00C509B2" w:rsidP="00C509B2">
            <w:pPr>
              <w:tabs>
                <w:tab w:val="center" w:pos="4252"/>
              </w:tabs>
              <w:jc w:val="left"/>
              <w:rPr>
                <w:sz w:val="22"/>
                <w:szCs w:val="22"/>
              </w:rPr>
            </w:pPr>
            <w:r w:rsidRPr="00B263E2">
              <w:rPr>
                <w:rFonts w:hint="eastAsia"/>
                <w:sz w:val="22"/>
                <w:szCs w:val="22"/>
              </w:rPr>
              <w:t>（提案された研究テーマの研究動向）</w:t>
            </w:r>
          </w:p>
          <w:p w:rsidR="00C509B2" w:rsidRPr="00B263E2" w:rsidRDefault="00CD1DC7" w:rsidP="00C509B2">
            <w:pPr>
              <w:tabs>
                <w:tab w:val="center" w:pos="4252"/>
              </w:tabs>
              <w:jc w:val="left"/>
              <w:rPr>
                <w:sz w:val="22"/>
                <w:szCs w:val="22"/>
              </w:rPr>
            </w:pPr>
            <w:r w:rsidRPr="00B263E2">
              <w:rPr>
                <w:rFonts w:hint="eastAsia"/>
                <w:sz w:val="22"/>
                <w:szCs w:val="22"/>
              </w:rPr>
              <w:t>これまで</w:t>
            </w:r>
            <w:r w:rsidR="00B82F5E" w:rsidRPr="00B263E2">
              <w:rPr>
                <w:rFonts w:hint="eastAsia"/>
                <w:sz w:val="22"/>
                <w:szCs w:val="22"/>
              </w:rPr>
              <w:t>，</w:t>
            </w:r>
            <w:r w:rsidR="00B82F5E" w:rsidRPr="00B263E2">
              <w:rPr>
                <w:sz w:val="22"/>
                <w:szCs w:val="22"/>
              </w:rPr>
              <w:t>在庫品切れ確率を所与として安全在庫を求める方法，在庫保管コストと在庫品切れペナルティコストを所与としてコストを最小化する基点在庫を求める方法，在庫コストと期間全体の品切れ確率（未達率）を所与として多期間の生産計画問題を確率計画法として定式化して，未達率制約下でコストを最小化する方法などが</w:t>
            </w:r>
            <w:r w:rsidR="00BF3EDC" w:rsidRPr="00B263E2">
              <w:rPr>
                <w:rFonts w:hint="eastAsia"/>
                <w:sz w:val="22"/>
                <w:szCs w:val="22"/>
              </w:rPr>
              <w:t>ある</w:t>
            </w:r>
            <w:r w:rsidR="00B82F5E" w:rsidRPr="00B263E2">
              <w:rPr>
                <w:sz w:val="22"/>
                <w:szCs w:val="22"/>
              </w:rPr>
              <w:t>．</w:t>
            </w:r>
            <w:r w:rsidRPr="00B263E2">
              <w:rPr>
                <w:rFonts w:hint="eastAsia"/>
                <w:sz w:val="22"/>
                <w:szCs w:val="22"/>
              </w:rPr>
              <w:t>本研究</w:t>
            </w:r>
            <w:r w:rsidR="009B2770" w:rsidRPr="00B263E2">
              <w:rPr>
                <w:rFonts w:hint="eastAsia"/>
                <w:sz w:val="22"/>
                <w:szCs w:val="22"/>
              </w:rPr>
              <w:t>は</w:t>
            </w:r>
            <w:r w:rsidRPr="00B263E2">
              <w:rPr>
                <w:rFonts w:hint="eastAsia"/>
                <w:sz w:val="22"/>
                <w:szCs w:val="22"/>
              </w:rPr>
              <w:t>金融工学で活用されているリスク尺度とゲーム理論の融合であり全く新しい</w:t>
            </w:r>
            <w:r w:rsidR="009B2770" w:rsidRPr="00B263E2">
              <w:rPr>
                <w:rFonts w:hint="eastAsia"/>
                <w:sz w:val="22"/>
                <w:szCs w:val="22"/>
              </w:rPr>
              <w:t>生産管理の</w:t>
            </w:r>
            <w:r w:rsidRPr="00B263E2">
              <w:rPr>
                <w:rFonts w:hint="eastAsia"/>
                <w:sz w:val="22"/>
                <w:szCs w:val="22"/>
              </w:rPr>
              <w:t>取組みである．</w:t>
            </w:r>
          </w:p>
        </w:tc>
      </w:tr>
      <w:tr w:rsidR="00C509B2">
        <w:trPr>
          <w:cantSplit/>
          <w:trHeight w:val="1293"/>
        </w:trPr>
        <w:tc>
          <w:tcPr>
            <w:tcW w:w="9836" w:type="dxa"/>
            <w:gridSpan w:val="12"/>
            <w:tcBorders>
              <w:top w:val="single" w:sz="4" w:space="0" w:color="auto"/>
              <w:left w:val="single" w:sz="4" w:space="0" w:color="auto"/>
              <w:bottom w:val="single" w:sz="4" w:space="0" w:color="auto"/>
              <w:right w:val="single" w:sz="4" w:space="0" w:color="auto"/>
            </w:tcBorders>
          </w:tcPr>
          <w:p w:rsidR="00C509B2" w:rsidRDefault="00C509B2" w:rsidP="00C509B2">
            <w:pPr>
              <w:tabs>
                <w:tab w:val="center" w:pos="4252"/>
              </w:tabs>
              <w:jc w:val="left"/>
              <w:rPr>
                <w:sz w:val="22"/>
              </w:rPr>
            </w:pPr>
            <w:r>
              <w:rPr>
                <w:rFonts w:hint="eastAsia"/>
                <w:sz w:val="22"/>
              </w:rPr>
              <w:lastRenderedPageBreak/>
              <w:t>11.</w:t>
            </w:r>
            <w:r>
              <w:rPr>
                <w:rFonts w:hint="eastAsia"/>
                <w:sz w:val="22"/>
              </w:rPr>
              <w:t>主な研究業績（関連したものを３件以内）</w:t>
            </w:r>
          </w:p>
          <w:p w:rsidR="002572F6" w:rsidRDefault="002572F6" w:rsidP="002E2792">
            <w:pPr>
              <w:widowControl/>
              <w:numPr>
                <w:ilvl w:val="0"/>
                <w:numId w:val="2"/>
              </w:numPr>
              <w:rPr>
                <w:rFonts w:ascii="Times New Roman" w:hAnsi="Times New Roman"/>
                <w:sz w:val="22"/>
                <w:szCs w:val="22"/>
              </w:rPr>
            </w:pPr>
            <w:r w:rsidRPr="00B263E2">
              <w:rPr>
                <w:rFonts w:ascii="Times New Roman" w:hAnsi="Times New Roman"/>
                <w:sz w:val="22"/>
                <w:szCs w:val="22"/>
                <w:u w:val="double"/>
              </w:rPr>
              <w:t>A. O. N. Rene</w:t>
            </w:r>
            <w:r w:rsidRPr="00B263E2">
              <w:rPr>
                <w:rFonts w:ascii="Times New Roman" w:hAnsi="Times New Roman"/>
                <w:sz w:val="22"/>
                <w:szCs w:val="22"/>
              </w:rPr>
              <w:t>, T</w:t>
            </w:r>
            <w:r w:rsidR="00602CC8">
              <w:rPr>
                <w:rFonts w:ascii="Times New Roman" w:hAnsi="Times New Roman"/>
                <w:sz w:val="22"/>
                <w:szCs w:val="22"/>
              </w:rPr>
              <w:t>.</w:t>
            </w:r>
            <w:r w:rsidRPr="00B263E2">
              <w:rPr>
                <w:rFonts w:ascii="Times New Roman" w:hAnsi="Times New Roman"/>
                <w:sz w:val="22"/>
                <w:szCs w:val="22"/>
              </w:rPr>
              <w:t xml:space="preserve"> </w:t>
            </w:r>
            <w:proofErr w:type="spellStart"/>
            <w:r w:rsidRPr="00B263E2">
              <w:rPr>
                <w:rFonts w:ascii="Times New Roman" w:hAnsi="Times New Roman"/>
                <w:sz w:val="22"/>
                <w:szCs w:val="22"/>
              </w:rPr>
              <w:t>Tanizaki</w:t>
            </w:r>
            <w:proofErr w:type="spellEnd"/>
            <w:r w:rsidRPr="00B263E2">
              <w:rPr>
                <w:rFonts w:ascii="Times New Roman" w:hAnsi="Times New Roman"/>
                <w:sz w:val="22"/>
                <w:szCs w:val="22"/>
              </w:rPr>
              <w:t>, N</w:t>
            </w:r>
            <w:r w:rsidR="00602CC8">
              <w:rPr>
                <w:rFonts w:ascii="Times New Roman" w:hAnsi="Times New Roman"/>
                <w:sz w:val="22"/>
                <w:szCs w:val="22"/>
              </w:rPr>
              <w:t>.</w:t>
            </w:r>
            <w:r w:rsidRPr="00B263E2">
              <w:rPr>
                <w:rFonts w:ascii="Times New Roman" w:hAnsi="Times New Roman"/>
                <w:sz w:val="22"/>
                <w:szCs w:val="22"/>
              </w:rPr>
              <w:t xml:space="preserve"> Ueno, E</w:t>
            </w:r>
            <w:r w:rsidR="00602CC8">
              <w:rPr>
                <w:rFonts w:ascii="Times New Roman" w:hAnsi="Times New Roman"/>
                <w:sz w:val="22"/>
                <w:szCs w:val="22"/>
              </w:rPr>
              <w:t>.</w:t>
            </w:r>
            <w:r w:rsidRPr="00B263E2">
              <w:rPr>
                <w:rFonts w:ascii="Times New Roman" w:hAnsi="Times New Roman"/>
                <w:sz w:val="22"/>
                <w:szCs w:val="22"/>
              </w:rPr>
              <w:t xml:space="preserve"> </w:t>
            </w:r>
            <w:proofErr w:type="spellStart"/>
            <w:r w:rsidRPr="00B263E2">
              <w:rPr>
                <w:rFonts w:ascii="Times New Roman" w:hAnsi="Times New Roman"/>
                <w:sz w:val="22"/>
                <w:szCs w:val="22"/>
              </w:rPr>
              <w:t>Domoto</w:t>
            </w:r>
            <w:proofErr w:type="spellEnd"/>
            <w:r w:rsidRPr="00B263E2">
              <w:rPr>
                <w:rFonts w:ascii="Times New Roman" w:hAnsi="Times New Roman"/>
                <w:sz w:val="22"/>
                <w:szCs w:val="22"/>
              </w:rPr>
              <w:t xml:space="preserve"> and </w:t>
            </w:r>
            <w:r w:rsidRPr="00B263E2">
              <w:rPr>
                <w:rFonts w:ascii="Times New Roman" w:hAnsi="Times New Roman"/>
                <w:sz w:val="22"/>
                <w:szCs w:val="22"/>
                <w:u w:val="single"/>
              </w:rPr>
              <w:t>K</w:t>
            </w:r>
            <w:r w:rsidR="00602CC8">
              <w:rPr>
                <w:rFonts w:ascii="Times New Roman" w:hAnsi="Times New Roman"/>
                <w:sz w:val="22"/>
                <w:szCs w:val="22"/>
                <w:u w:val="single"/>
              </w:rPr>
              <w:t>.</w:t>
            </w:r>
            <w:r w:rsidRPr="00B263E2">
              <w:rPr>
                <w:rFonts w:ascii="Times New Roman" w:hAnsi="Times New Roman"/>
                <w:sz w:val="22"/>
                <w:szCs w:val="22"/>
                <w:u w:val="single"/>
              </w:rPr>
              <w:t xml:space="preserve"> </w:t>
            </w:r>
            <w:proofErr w:type="spellStart"/>
            <w:r w:rsidRPr="00B263E2">
              <w:rPr>
                <w:rFonts w:ascii="Times New Roman" w:hAnsi="Times New Roman"/>
                <w:sz w:val="22"/>
                <w:szCs w:val="22"/>
                <w:u w:val="single"/>
              </w:rPr>
              <w:t>Okuhara</w:t>
            </w:r>
            <w:proofErr w:type="spellEnd"/>
            <w:r w:rsidRPr="00B263E2">
              <w:rPr>
                <w:rFonts w:ascii="Times New Roman" w:hAnsi="Times New Roman"/>
                <w:sz w:val="22"/>
                <w:szCs w:val="22"/>
              </w:rPr>
              <w:t xml:space="preserve">, “Coalitional Game-Theoretic Model for Inventory Management”, ICIC Express Letters, Part B: Applications, </w:t>
            </w:r>
            <w:r w:rsidR="002B68B8">
              <w:rPr>
                <w:rFonts w:ascii="Times New Roman" w:hAnsi="Times New Roman"/>
                <w:sz w:val="22"/>
                <w:szCs w:val="22"/>
              </w:rPr>
              <w:t>V</w:t>
            </w:r>
            <w:r w:rsidRPr="00B263E2">
              <w:rPr>
                <w:rFonts w:ascii="Times New Roman" w:hAnsi="Times New Roman"/>
                <w:sz w:val="22"/>
                <w:szCs w:val="22"/>
              </w:rPr>
              <w:t xml:space="preserve">ol. 12 </w:t>
            </w:r>
            <w:r w:rsidR="002B68B8">
              <w:rPr>
                <w:rFonts w:ascii="Times New Roman" w:hAnsi="Times New Roman"/>
                <w:sz w:val="22"/>
                <w:szCs w:val="22"/>
              </w:rPr>
              <w:t>N</w:t>
            </w:r>
            <w:r w:rsidRPr="00B263E2">
              <w:rPr>
                <w:rFonts w:ascii="Times New Roman" w:hAnsi="Times New Roman"/>
                <w:sz w:val="22"/>
                <w:szCs w:val="22"/>
              </w:rPr>
              <w:t>o. 8, pp. 799-807 (2018)</w:t>
            </w:r>
          </w:p>
          <w:p w:rsidR="002B68B8" w:rsidRPr="002B68B8" w:rsidRDefault="002B68B8" w:rsidP="002E2792">
            <w:pPr>
              <w:pStyle w:val="a7"/>
              <w:numPr>
                <w:ilvl w:val="0"/>
                <w:numId w:val="2"/>
              </w:numPr>
              <w:rPr>
                <w:rFonts w:ascii="Times New Roman" w:hAnsi="Times New Roman"/>
                <w:sz w:val="22"/>
                <w:szCs w:val="22"/>
              </w:rPr>
            </w:pPr>
            <w:r w:rsidRPr="002B68B8">
              <w:rPr>
                <w:rFonts w:ascii="Times New Roman" w:hAnsi="Times New Roman"/>
                <w:sz w:val="22"/>
                <w:szCs w:val="22"/>
              </w:rPr>
              <w:t xml:space="preserve">T. </w:t>
            </w:r>
            <w:proofErr w:type="spellStart"/>
            <w:r w:rsidRPr="002B68B8">
              <w:rPr>
                <w:rFonts w:ascii="Times New Roman" w:hAnsi="Times New Roman"/>
                <w:sz w:val="22"/>
                <w:szCs w:val="22"/>
              </w:rPr>
              <w:t>Tanizaki</w:t>
            </w:r>
            <w:proofErr w:type="spellEnd"/>
            <w:r w:rsidRPr="002B68B8">
              <w:rPr>
                <w:rFonts w:ascii="Times New Roman" w:hAnsi="Times New Roman"/>
                <w:sz w:val="22"/>
                <w:szCs w:val="22"/>
              </w:rPr>
              <w:t xml:space="preserve">, H. </w:t>
            </w:r>
            <w:proofErr w:type="spellStart"/>
            <w:r w:rsidRPr="002B68B8">
              <w:rPr>
                <w:rFonts w:ascii="Times New Roman" w:hAnsi="Times New Roman"/>
                <w:sz w:val="22"/>
                <w:szCs w:val="22"/>
              </w:rPr>
              <w:t>Katagiri</w:t>
            </w:r>
            <w:proofErr w:type="spellEnd"/>
            <w:r w:rsidR="00602CC8">
              <w:rPr>
                <w:rFonts w:ascii="Times New Roman" w:hAnsi="Times New Roman"/>
                <w:sz w:val="22"/>
                <w:szCs w:val="22"/>
              </w:rPr>
              <w:t xml:space="preserve"> </w:t>
            </w:r>
            <w:r w:rsidRPr="002B68B8">
              <w:rPr>
                <w:rFonts w:ascii="Times New Roman" w:hAnsi="Times New Roman"/>
                <w:sz w:val="22"/>
                <w:szCs w:val="22"/>
              </w:rPr>
              <w:t xml:space="preserve">and </w:t>
            </w:r>
            <w:r w:rsidRPr="002B68B8">
              <w:rPr>
                <w:rFonts w:ascii="Times New Roman" w:hAnsi="Times New Roman"/>
                <w:sz w:val="22"/>
                <w:szCs w:val="22"/>
                <w:u w:val="double"/>
              </w:rPr>
              <w:t>A. O. N. Rene</w:t>
            </w:r>
            <w:r w:rsidRPr="002B68B8">
              <w:rPr>
                <w:rFonts w:ascii="Times New Roman" w:hAnsi="Times New Roman"/>
                <w:sz w:val="22"/>
                <w:szCs w:val="22"/>
              </w:rPr>
              <w:t>, “Scheduling Algorithms Using Metaheuristics for Production Processes with Crane Interference”, International Journal of Automation Technology, Vol. 12, N</w:t>
            </w:r>
            <w:r>
              <w:rPr>
                <w:rFonts w:ascii="Times New Roman" w:hAnsi="Times New Roman"/>
                <w:sz w:val="22"/>
                <w:szCs w:val="22"/>
              </w:rPr>
              <w:t>o</w:t>
            </w:r>
            <w:r w:rsidRPr="002B68B8">
              <w:rPr>
                <w:rFonts w:ascii="Times New Roman" w:hAnsi="Times New Roman"/>
                <w:sz w:val="22"/>
                <w:szCs w:val="22"/>
              </w:rPr>
              <w:t>.</w:t>
            </w:r>
            <w:r>
              <w:rPr>
                <w:rFonts w:ascii="Times New Roman" w:hAnsi="Times New Roman"/>
                <w:sz w:val="22"/>
                <w:szCs w:val="22"/>
              </w:rPr>
              <w:t xml:space="preserve"> </w:t>
            </w:r>
            <w:r w:rsidRPr="002B68B8">
              <w:rPr>
                <w:rFonts w:ascii="Times New Roman" w:hAnsi="Times New Roman"/>
                <w:sz w:val="22"/>
                <w:szCs w:val="22"/>
              </w:rPr>
              <w:t>3, pp.</w:t>
            </w:r>
            <w:r>
              <w:rPr>
                <w:rFonts w:ascii="Times New Roman" w:hAnsi="Times New Roman" w:hint="eastAsia"/>
                <w:sz w:val="22"/>
                <w:szCs w:val="22"/>
              </w:rPr>
              <w:t xml:space="preserve"> </w:t>
            </w:r>
            <w:r w:rsidRPr="002B68B8">
              <w:rPr>
                <w:rFonts w:ascii="Times New Roman" w:hAnsi="Times New Roman"/>
                <w:sz w:val="22"/>
                <w:szCs w:val="22"/>
              </w:rPr>
              <w:t>297-307 (2018)</w:t>
            </w:r>
          </w:p>
          <w:p w:rsidR="002572F6" w:rsidRPr="002B68B8" w:rsidRDefault="002572F6" w:rsidP="002B68B8">
            <w:pPr>
              <w:pStyle w:val="a7"/>
              <w:numPr>
                <w:ilvl w:val="0"/>
                <w:numId w:val="2"/>
              </w:numPr>
              <w:rPr>
                <w:rFonts w:ascii="Times New Roman" w:hAnsi="Times New Roman"/>
                <w:sz w:val="22"/>
                <w:szCs w:val="22"/>
              </w:rPr>
            </w:pPr>
            <w:r w:rsidRPr="00B263E2">
              <w:rPr>
                <w:rFonts w:ascii="Times New Roman" w:hAnsi="Times New Roman"/>
                <w:color w:val="222222"/>
                <w:sz w:val="22"/>
                <w:szCs w:val="22"/>
                <w:u w:val="double"/>
                <w:shd w:val="clear" w:color="auto" w:fill="FFFFFF"/>
              </w:rPr>
              <w:t>A. O. N. Rene</w:t>
            </w:r>
            <w:r w:rsidRPr="00B263E2">
              <w:rPr>
                <w:rFonts w:ascii="Times New Roman" w:hAnsi="Times New Roman"/>
                <w:color w:val="222222"/>
                <w:sz w:val="22"/>
                <w:szCs w:val="22"/>
                <w:shd w:val="clear" w:color="auto" w:fill="FFFFFF"/>
              </w:rPr>
              <w:t xml:space="preserve">, N. Ueno, Y. Taguchi and </w:t>
            </w:r>
            <w:r w:rsidRPr="00B263E2">
              <w:rPr>
                <w:rFonts w:ascii="Times New Roman" w:hAnsi="Times New Roman"/>
                <w:color w:val="222222"/>
                <w:sz w:val="22"/>
                <w:szCs w:val="22"/>
                <w:u w:val="single"/>
                <w:shd w:val="clear" w:color="auto" w:fill="FFFFFF"/>
              </w:rPr>
              <w:t xml:space="preserve">K. </w:t>
            </w:r>
            <w:proofErr w:type="spellStart"/>
            <w:r w:rsidRPr="00B263E2">
              <w:rPr>
                <w:rFonts w:ascii="Times New Roman" w:hAnsi="Times New Roman"/>
                <w:color w:val="222222"/>
                <w:sz w:val="22"/>
                <w:szCs w:val="22"/>
                <w:u w:val="single"/>
                <w:shd w:val="clear" w:color="auto" w:fill="FFFFFF"/>
              </w:rPr>
              <w:t>Okuhara</w:t>
            </w:r>
            <w:proofErr w:type="spellEnd"/>
            <w:r w:rsidRPr="00B263E2">
              <w:rPr>
                <w:rFonts w:ascii="Times New Roman" w:hAnsi="Times New Roman"/>
                <w:color w:val="222222"/>
                <w:sz w:val="22"/>
                <w:szCs w:val="22"/>
                <w:shd w:val="clear" w:color="auto" w:fill="FFFFFF"/>
              </w:rPr>
              <w:t xml:space="preserve">, </w:t>
            </w:r>
            <w:r w:rsidRPr="00B263E2">
              <w:rPr>
                <w:rFonts w:ascii="Times New Roman" w:hAnsi="Times New Roman"/>
                <w:sz w:val="22"/>
                <w:szCs w:val="22"/>
              </w:rPr>
              <w:t>“</w:t>
            </w:r>
            <w:r w:rsidRPr="00B263E2">
              <w:rPr>
                <w:rFonts w:ascii="Times New Roman" w:hAnsi="Times New Roman"/>
                <w:color w:val="222222"/>
                <w:sz w:val="22"/>
                <w:szCs w:val="22"/>
                <w:shd w:val="clear" w:color="auto" w:fill="FFFFFF"/>
              </w:rPr>
              <w:t>An Available Solution for Multi-period Production Planning with Constraints Based on Shapley Value</w:t>
            </w:r>
            <w:r w:rsidRPr="00B263E2">
              <w:rPr>
                <w:rFonts w:ascii="Times New Roman" w:hAnsi="Times New Roman"/>
                <w:sz w:val="22"/>
                <w:szCs w:val="22"/>
              </w:rPr>
              <w:t xml:space="preserve">”, </w:t>
            </w:r>
            <w:r w:rsidRPr="00B263E2">
              <w:rPr>
                <w:rFonts w:ascii="Times New Roman" w:hAnsi="Times New Roman"/>
                <w:color w:val="222222"/>
                <w:sz w:val="22"/>
                <w:szCs w:val="22"/>
                <w:shd w:val="clear" w:color="auto" w:fill="FFFFFF"/>
              </w:rPr>
              <w:t>International Journal of Japan Association for Management Systems, Vol. 8, N</w:t>
            </w:r>
            <w:r w:rsidR="002B68B8">
              <w:rPr>
                <w:rFonts w:ascii="Times New Roman" w:hAnsi="Times New Roman"/>
                <w:color w:val="222222"/>
                <w:sz w:val="22"/>
                <w:szCs w:val="22"/>
                <w:shd w:val="clear" w:color="auto" w:fill="FFFFFF"/>
              </w:rPr>
              <w:t>o</w:t>
            </w:r>
            <w:r w:rsidRPr="00B263E2">
              <w:rPr>
                <w:rFonts w:ascii="Times New Roman" w:hAnsi="Times New Roman"/>
                <w:color w:val="222222"/>
                <w:sz w:val="22"/>
                <w:szCs w:val="22"/>
                <w:shd w:val="clear" w:color="auto" w:fill="FFFFFF"/>
              </w:rPr>
              <w:t>. 1, pp.</w:t>
            </w:r>
            <w:r w:rsidRPr="00B263E2">
              <w:rPr>
                <w:rFonts w:ascii="Times New Roman" w:eastAsia="Times New Roman" w:hAnsi="Times New Roman"/>
                <w:color w:val="222222"/>
                <w:sz w:val="22"/>
                <w:szCs w:val="22"/>
                <w:shd w:val="clear" w:color="auto" w:fill="FFFFFF"/>
              </w:rPr>
              <w:t xml:space="preserve"> </w:t>
            </w:r>
            <w:r w:rsidRPr="00B263E2">
              <w:rPr>
                <w:rFonts w:ascii="Times New Roman" w:hAnsi="Times New Roman"/>
                <w:color w:val="222222"/>
                <w:sz w:val="22"/>
                <w:szCs w:val="22"/>
                <w:shd w:val="clear" w:color="auto" w:fill="FFFFFF"/>
              </w:rPr>
              <w:t>47-56 (</w:t>
            </w:r>
            <w:r w:rsidRPr="00B263E2">
              <w:rPr>
                <w:rFonts w:ascii="Times New Roman" w:hAnsi="Times New Roman"/>
                <w:sz w:val="22"/>
                <w:szCs w:val="22"/>
              </w:rPr>
              <w:t>2016)</w:t>
            </w:r>
            <w:r w:rsidR="009B2770" w:rsidRPr="00B263E2">
              <w:rPr>
                <w:rFonts w:ascii="Times New Roman" w:hAnsi="Times New Roman" w:hint="eastAsia"/>
                <w:sz w:val="22"/>
                <w:szCs w:val="22"/>
              </w:rPr>
              <w:t xml:space="preserve">　</w:t>
            </w:r>
            <w:r w:rsidR="009B2770" w:rsidRPr="00B263E2">
              <w:rPr>
                <w:rFonts w:hint="eastAsia"/>
                <w:sz w:val="22"/>
                <w:szCs w:val="22"/>
              </w:rPr>
              <w:t>【テーマに</w:t>
            </w:r>
            <w:r w:rsidR="00B263E2">
              <w:rPr>
                <w:rFonts w:hint="eastAsia"/>
                <w:sz w:val="22"/>
                <w:szCs w:val="22"/>
              </w:rPr>
              <w:t>関連した</w:t>
            </w:r>
            <w:r w:rsidR="009B2770" w:rsidRPr="00B263E2">
              <w:rPr>
                <w:rFonts w:hint="eastAsia"/>
                <w:sz w:val="22"/>
                <w:szCs w:val="22"/>
              </w:rPr>
              <w:t>受賞】</w:t>
            </w:r>
          </w:p>
        </w:tc>
      </w:tr>
      <w:tr w:rsidR="00C509B2" w:rsidTr="002B68B8">
        <w:trPr>
          <w:cantSplit/>
          <w:trHeight w:val="8628"/>
        </w:trPr>
        <w:tc>
          <w:tcPr>
            <w:tcW w:w="1528" w:type="dxa"/>
            <w:tcBorders>
              <w:bottom w:val="single" w:sz="4" w:space="0" w:color="auto"/>
            </w:tcBorders>
          </w:tcPr>
          <w:p w:rsidR="00C509B2" w:rsidRDefault="00C509B2" w:rsidP="00C509B2">
            <w:pPr>
              <w:tabs>
                <w:tab w:val="center" w:pos="4252"/>
              </w:tabs>
              <w:ind w:rightChars="-47" w:right="-113"/>
              <w:jc w:val="left"/>
              <w:rPr>
                <w:sz w:val="22"/>
              </w:rPr>
            </w:pPr>
            <w:r>
              <w:rPr>
                <w:rFonts w:hint="eastAsia"/>
                <w:sz w:val="22"/>
              </w:rPr>
              <w:t>12.</w:t>
            </w:r>
            <w:r>
              <w:rPr>
                <w:rFonts w:hint="eastAsia"/>
                <w:sz w:val="22"/>
              </w:rPr>
              <w:t>実施計画</w:t>
            </w:r>
          </w:p>
          <w:p w:rsidR="00C509B2" w:rsidRDefault="00C509B2" w:rsidP="00C509B2">
            <w:pPr>
              <w:tabs>
                <w:tab w:val="center" w:pos="4252"/>
              </w:tabs>
              <w:ind w:rightChars="-47" w:right="-113" w:firstLineChars="100" w:firstLine="220"/>
              <w:jc w:val="left"/>
              <w:rPr>
                <w:sz w:val="22"/>
              </w:rPr>
            </w:pPr>
            <w:r>
              <w:rPr>
                <w:rFonts w:hint="eastAsia"/>
                <w:sz w:val="22"/>
              </w:rPr>
              <w:t>・内容</w:t>
            </w:r>
          </w:p>
          <w:p w:rsidR="00C509B2" w:rsidRDefault="00C509B2" w:rsidP="00C509B2">
            <w:pPr>
              <w:tabs>
                <w:tab w:val="center" w:pos="4252"/>
              </w:tabs>
              <w:jc w:val="left"/>
              <w:rPr>
                <w:sz w:val="22"/>
              </w:rPr>
            </w:pPr>
          </w:p>
        </w:tc>
        <w:tc>
          <w:tcPr>
            <w:tcW w:w="8308" w:type="dxa"/>
            <w:gridSpan w:val="11"/>
            <w:tcBorders>
              <w:bottom w:val="single" w:sz="4" w:space="0" w:color="auto"/>
            </w:tcBorders>
          </w:tcPr>
          <w:p w:rsidR="00C509B2" w:rsidRDefault="00CD1DC7" w:rsidP="00C509B2">
            <w:pPr>
              <w:tabs>
                <w:tab w:val="center" w:pos="4252"/>
              </w:tabs>
              <w:jc w:val="left"/>
              <w:rPr>
                <w:sz w:val="22"/>
              </w:rPr>
            </w:pPr>
            <w:r>
              <w:rPr>
                <w:rFonts w:hint="eastAsia"/>
                <w:sz w:val="22"/>
              </w:rPr>
              <w:t>（</w:t>
            </w:r>
            <w:r w:rsidR="00C509B2">
              <w:rPr>
                <w:rFonts w:hint="eastAsia"/>
                <w:sz w:val="22"/>
              </w:rPr>
              <w:t>研究の内容・年次計画・目標などを具体的に</w:t>
            </w:r>
            <w:r w:rsidR="00C509B2">
              <w:rPr>
                <w:rFonts w:hint="eastAsia"/>
                <w:sz w:val="22"/>
              </w:rPr>
              <w:t>)</w:t>
            </w:r>
          </w:p>
          <w:p w:rsidR="005B5744" w:rsidRPr="005B5744" w:rsidRDefault="006A314F" w:rsidP="005B5744">
            <w:pPr>
              <w:tabs>
                <w:tab w:val="center" w:pos="4252"/>
              </w:tabs>
              <w:rPr>
                <w:kern w:val="0"/>
                <w:sz w:val="22"/>
                <w:szCs w:val="22"/>
              </w:rPr>
            </w:pPr>
            <w:r w:rsidRPr="00B263E2">
              <w:rPr>
                <w:rFonts w:hint="eastAsia"/>
                <w:sz w:val="22"/>
                <w:szCs w:val="22"/>
              </w:rPr>
              <w:t>リスク指標として</w:t>
            </w:r>
            <w:proofErr w:type="spellStart"/>
            <w:r w:rsidRPr="00B263E2">
              <w:rPr>
                <w:rFonts w:hint="eastAsia"/>
                <w:sz w:val="22"/>
                <w:szCs w:val="22"/>
              </w:rPr>
              <w:t>AVaR</w:t>
            </w:r>
            <w:proofErr w:type="spellEnd"/>
            <w:r w:rsidRPr="00B263E2">
              <w:rPr>
                <w:rFonts w:hint="eastAsia"/>
                <w:sz w:val="22"/>
                <w:szCs w:val="22"/>
              </w:rPr>
              <w:t>を用い，協力ゲーム理論を適用して，多期間の生産計画問題について解を求める方法が提案されている</w:t>
            </w:r>
            <w:r w:rsidR="00CD1DC7" w:rsidRPr="00B263E2">
              <w:rPr>
                <w:rFonts w:hint="eastAsia"/>
                <w:sz w:val="22"/>
                <w:szCs w:val="22"/>
              </w:rPr>
              <w:t>．</w:t>
            </w:r>
            <w:proofErr w:type="spellStart"/>
            <w:r w:rsidRPr="00B263E2">
              <w:rPr>
                <w:rFonts w:hint="eastAsia"/>
                <w:sz w:val="22"/>
                <w:szCs w:val="22"/>
              </w:rPr>
              <w:t>AVaR</w:t>
            </w:r>
            <w:proofErr w:type="spellEnd"/>
            <w:r w:rsidRPr="00B263E2">
              <w:rPr>
                <w:rFonts w:hint="eastAsia"/>
                <w:sz w:val="22"/>
                <w:szCs w:val="22"/>
              </w:rPr>
              <w:t>は不確実な需要量の分散の大きさから生じる在庫量の分布のすそ野の広がりによるリスクを表現するものである</w:t>
            </w:r>
            <w:r w:rsidR="00CD1DC7" w:rsidRPr="00B263E2">
              <w:rPr>
                <w:rFonts w:hint="eastAsia"/>
                <w:sz w:val="22"/>
                <w:szCs w:val="22"/>
              </w:rPr>
              <w:t>．</w:t>
            </w:r>
            <w:r w:rsidR="006E6B3D">
              <w:rPr>
                <w:rFonts w:hint="eastAsia"/>
                <w:sz w:val="22"/>
                <w:szCs w:val="22"/>
              </w:rPr>
              <w:t>生産期間の各期をプレイヤーと解釈し優加法性を満たす</w:t>
            </w:r>
            <w:proofErr w:type="spellStart"/>
            <w:r w:rsidR="006E6B3D" w:rsidRPr="00B263E2">
              <w:rPr>
                <w:rFonts w:hint="eastAsia"/>
                <w:sz w:val="22"/>
                <w:szCs w:val="22"/>
              </w:rPr>
              <w:t>AVaR</w:t>
            </w:r>
            <w:proofErr w:type="spellEnd"/>
            <w:r w:rsidR="006E6B3D">
              <w:rPr>
                <w:rFonts w:hint="eastAsia"/>
                <w:sz w:val="22"/>
                <w:szCs w:val="22"/>
              </w:rPr>
              <w:t>の負値を</w:t>
            </w:r>
            <w:r w:rsidRPr="00B263E2">
              <w:rPr>
                <w:rFonts w:hint="eastAsia"/>
                <w:sz w:val="22"/>
                <w:szCs w:val="22"/>
              </w:rPr>
              <w:t>シャープレイ値配分</w:t>
            </w:r>
            <w:r w:rsidR="006E6B3D">
              <w:rPr>
                <w:rFonts w:hint="eastAsia"/>
                <w:sz w:val="22"/>
                <w:szCs w:val="22"/>
              </w:rPr>
              <w:t>することで期別の生産量を</w:t>
            </w:r>
            <w:r w:rsidR="00E13CF7">
              <w:rPr>
                <w:rFonts w:hint="eastAsia"/>
                <w:sz w:val="22"/>
                <w:szCs w:val="22"/>
              </w:rPr>
              <w:t>決定する．そのことで</w:t>
            </w:r>
            <w:r w:rsidRPr="00B263E2">
              <w:rPr>
                <w:rFonts w:hint="eastAsia"/>
                <w:sz w:val="22"/>
                <w:szCs w:val="22"/>
              </w:rPr>
              <w:t>内示生産システムに適用した場合の在庫量，生産量の特性が明らかになり，対応する在庫補充政策</w:t>
            </w:r>
            <w:r w:rsidR="00E13CF7">
              <w:rPr>
                <w:rFonts w:hint="eastAsia"/>
                <w:sz w:val="22"/>
                <w:szCs w:val="22"/>
              </w:rPr>
              <w:t>を導くことができる</w:t>
            </w:r>
            <w:r w:rsidR="00CD1DC7" w:rsidRPr="00B263E2">
              <w:rPr>
                <w:rFonts w:hint="eastAsia"/>
                <w:sz w:val="22"/>
                <w:szCs w:val="22"/>
              </w:rPr>
              <w:t>．</w:t>
            </w:r>
            <w:r w:rsidR="00E13CF7">
              <w:rPr>
                <w:rFonts w:hint="eastAsia"/>
                <w:sz w:val="22"/>
                <w:szCs w:val="22"/>
              </w:rPr>
              <w:t>近年，</w:t>
            </w:r>
            <w:r w:rsidRPr="00B263E2">
              <w:rPr>
                <w:sz w:val="22"/>
                <w:szCs w:val="22"/>
              </w:rPr>
              <w:t>I</w:t>
            </w:r>
            <w:r w:rsidR="009B2770" w:rsidRPr="00B263E2">
              <w:rPr>
                <w:sz w:val="22"/>
                <w:szCs w:val="22"/>
              </w:rPr>
              <w:t>o</w:t>
            </w:r>
            <w:r w:rsidRPr="00B263E2">
              <w:rPr>
                <w:sz w:val="22"/>
                <w:szCs w:val="22"/>
              </w:rPr>
              <w:t>T</w:t>
            </w:r>
            <w:r w:rsidRPr="00B263E2">
              <w:rPr>
                <w:sz w:val="22"/>
                <w:szCs w:val="22"/>
              </w:rPr>
              <w:t>（</w:t>
            </w:r>
            <w:r w:rsidRPr="00B263E2">
              <w:rPr>
                <w:sz w:val="22"/>
                <w:szCs w:val="22"/>
              </w:rPr>
              <w:t>Internet of Things</w:t>
            </w:r>
            <w:r w:rsidRPr="00B263E2">
              <w:rPr>
                <w:sz w:val="22"/>
                <w:szCs w:val="22"/>
              </w:rPr>
              <w:t>）</w:t>
            </w:r>
            <w:r w:rsidR="00AE6E24" w:rsidRPr="00B263E2">
              <w:rPr>
                <w:rFonts w:hint="eastAsia"/>
                <w:sz w:val="22"/>
                <w:szCs w:val="22"/>
              </w:rPr>
              <w:t>により</w:t>
            </w:r>
            <w:r w:rsidR="009B2770" w:rsidRPr="00B263E2">
              <w:rPr>
                <w:rFonts w:hint="eastAsia"/>
                <w:sz w:val="22"/>
                <w:szCs w:val="22"/>
              </w:rPr>
              <w:t>種々</w:t>
            </w:r>
            <w:r w:rsidRPr="00B263E2">
              <w:rPr>
                <w:sz w:val="22"/>
                <w:szCs w:val="22"/>
              </w:rPr>
              <w:t>のモノのリアルタイムの情報が</w:t>
            </w:r>
            <w:r w:rsidR="00AE6E24" w:rsidRPr="00B263E2">
              <w:rPr>
                <w:rFonts w:hint="eastAsia"/>
                <w:sz w:val="22"/>
                <w:szCs w:val="22"/>
              </w:rPr>
              <w:t>得られ</w:t>
            </w:r>
            <w:r w:rsidRPr="00B263E2">
              <w:rPr>
                <w:sz w:val="22"/>
                <w:szCs w:val="22"/>
              </w:rPr>
              <w:t>，リアルタイムの</w:t>
            </w:r>
            <w:proofErr w:type="gramStart"/>
            <w:r w:rsidRPr="00B263E2">
              <w:rPr>
                <w:sz w:val="22"/>
                <w:szCs w:val="22"/>
              </w:rPr>
              <w:t>少し先</w:t>
            </w:r>
            <w:r w:rsidR="009B2770" w:rsidRPr="00B263E2">
              <w:rPr>
                <w:rFonts w:hint="eastAsia"/>
                <w:sz w:val="22"/>
                <w:szCs w:val="22"/>
              </w:rPr>
              <w:t>の</w:t>
            </w:r>
            <w:proofErr w:type="gramEnd"/>
            <w:r w:rsidRPr="00B263E2">
              <w:rPr>
                <w:sz w:val="22"/>
                <w:szCs w:val="22"/>
              </w:rPr>
              <w:t>情報</w:t>
            </w:r>
            <w:r w:rsidR="00AE6E24" w:rsidRPr="00B263E2">
              <w:rPr>
                <w:rFonts w:hint="eastAsia"/>
                <w:sz w:val="22"/>
                <w:szCs w:val="22"/>
              </w:rPr>
              <w:t>の予測がやり易くなったことで</w:t>
            </w:r>
            <w:r w:rsidRPr="00B263E2">
              <w:rPr>
                <w:sz w:val="22"/>
                <w:szCs w:val="22"/>
              </w:rPr>
              <w:t>，これらを互いに活用することが効果的であると思われる</w:t>
            </w:r>
            <w:r w:rsidR="00CD1DC7" w:rsidRPr="00B263E2">
              <w:rPr>
                <w:sz w:val="22"/>
                <w:szCs w:val="22"/>
              </w:rPr>
              <w:t>．</w:t>
            </w:r>
            <w:r w:rsidR="00E13CF7">
              <w:rPr>
                <w:rFonts w:hint="eastAsia"/>
                <w:sz w:val="22"/>
                <w:szCs w:val="22"/>
              </w:rPr>
              <w:t>また</w:t>
            </w:r>
            <w:r w:rsidR="00D00760">
              <w:rPr>
                <w:rFonts w:hint="eastAsia"/>
                <w:sz w:val="22"/>
                <w:szCs w:val="22"/>
              </w:rPr>
              <w:t>，</w:t>
            </w:r>
            <w:r w:rsidR="009B2770" w:rsidRPr="00B263E2">
              <w:rPr>
                <w:rFonts w:hint="eastAsia"/>
                <w:sz w:val="22"/>
                <w:szCs w:val="22"/>
              </w:rPr>
              <w:t>企業での内示情報など</w:t>
            </w:r>
            <w:r w:rsidR="00D00760">
              <w:rPr>
                <w:rFonts w:hint="eastAsia"/>
                <w:sz w:val="22"/>
                <w:szCs w:val="22"/>
              </w:rPr>
              <w:t>の</w:t>
            </w:r>
            <w:r w:rsidRPr="00B263E2">
              <w:rPr>
                <w:sz w:val="22"/>
                <w:szCs w:val="22"/>
              </w:rPr>
              <w:t>「先行情報」の概念は経済的活性化の重要な役割を果</w:t>
            </w:r>
            <w:r w:rsidR="009B2770" w:rsidRPr="00B263E2">
              <w:rPr>
                <w:rFonts w:hint="eastAsia"/>
                <w:sz w:val="22"/>
                <w:szCs w:val="22"/>
              </w:rPr>
              <w:t>すと考えられる．そこで，</w:t>
            </w:r>
            <w:r w:rsidR="00D00760">
              <w:rPr>
                <w:rFonts w:hint="eastAsia"/>
                <w:sz w:val="22"/>
                <w:szCs w:val="22"/>
              </w:rPr>
              <w:t>予測や</w:t>
            </w:r>
            <w:r w:rsidR="009B2770" w:rsidRPr="00B263E2">
              <w:rPr>
                <w:rFonts w:hint="eastAsia"/>
                <w:sz w:val="22"/>
                <w:szCs w:val="22"/>
              </w:rPr>
              <w:t>先行情報に内在する不確かさをリスクとして考慮すること</w:t>
            </w:r>
            <w:r w:rsidR="00AE6E24" w:rsidRPr="00B263E2">
              <w:rPr>
                <w:rFonts w:hint="eastAsia"/>
                <w:sz w:val="22"/>
                <w:szCs w:val="22"/>
              </w:rPr>
              <w:t>ができる</w:t>
            </w:r>
            <w:r w:rsidR="003016A6" w:rsidRPr="003016A6">
              <w:rPr>
                <w:rFonts w:hint="eastAsia"/>
                <w:sz w:val="22"/>
              </w:rPr>
              <w:t>生産効率化指向の</w:t>
            </w:r>
            <w:r w:rsidR="00B263E2" w:rsidRPr="00B263E2">
              <w:rPr>
                <w:rFonts w:hint="eastAsia"/>
                <w:sz w:val="22"/>
                <w:szCs w:val="22"/>
              </w:rPr>
              <w:t>新しい生産計画モデル</w:t>
            </w:r>
            <w:r w:rsidR="00AE6E24" w:rsidRPr="00B263E2">
              <w:rPr>
                <w:rFonts w:hint="eastAsia"/>
                <w:sz w:val="22"/>
                <w:szCs w:val="22"/>
              </w:rPr>
              <w:t>の構築が研究内容である．</w:t>
            </w:r>
            <w:r w:rsidR="005B5744">
              <w:rPr>
                <w:rFonts w:hint="eastAsia"/>
                <w:sz w:val="22"/>
                <w:szCs w:val="22"/>
              </w:rPr>
              <w:t>このことにより，</w:t>
            </w:r>
            <w:r w:rsidR="005B5744" w:rsidRPr="005B5744">
              <w:rPr>
                <w:rFonts w:hint="eastAsia"/>
                <w:kern w:val="0"/>
                <w:sz w:val="22"/>
                <w:szCs w:val="22"/>
              </w:rPr>
              <w:t>災害等の非日常的リスクや劣化，環境変化，不確実性等の日常的リスクに対応したレジリエンス</w:t>
            </w:r>
            <w:r w:rsidR="005B5744" w:rsidRPr="005B5744">
              <w:rPr>
                <w:rFonts w:hint="eastAsia"/>
                <w:kern w:val="0"/>
                <w:sz w:val="22"/>
                <w:szCs w:val="22"/>
              </w:rPr>
              <w:t xml:space="preserve"> (</w:t>
            </w:r>
            <w:r w:rsidR="005B5744" w:rsidRPr="005B5744">
              <w:rPr>
                <w:rFonts w:hint="eastAsia"/>
                <w:kern w:val="0"/>
                <w:sz w:val="22"/>
                <w:szCs w:val="22"/>
              </w:rPr>
              <w:t>しなやかな回復力</w:t>
            </w:r>
            <w:r w:rsidR="005B5744" w:rsidRPr="005B5744">
              <w:rPr>
                <w:rFonts w:hint="eastAsia"/>
                <w:kern w:val="0"/>
                <w:sz w:val="22"/>
                <w:szCs w:val="22"/>
              </w:rPr>
              <w:t>)</w:t>
            </w:r>
            <w:r w:rsidR="005B5744" w:rsidRPr="005B5744">
              <w:rPr>
                <w:rFonts w:hint="eastAsia"/>
                <w:kern w:val="0"/>
                <w:sz w:val="22"/>
                <w:szCs w:val="22"/>
              </w:rPr>
              <w:t>を加味した生産システム</w:t>
            </w:r>
            <w:r w:rsidR="00E13CF7">
              <w:rPr>
                <w:rFonts w:hint="eastAsia"/>
                <w:kern w:val="0"/>
                <w:sz w:val="22"/>
                <w:szCs w:val="22"/>
              </w:rPr>
              <w:t>の</w:t>
            </w:r>
            <w:r w:rsidR="005B5744" w:rsidRPr="005B5744">
              <w:rPr>
                <w:rFonts w:hint="eastAsia"/>
                <w:kern w:val="0"/>
                <w:sz w:val="22"/>
                <w:szCs w:val="22"/>
              </w:rPr>
              <w:t>確立が</w:t>
            </w:r>
            <w:r w:rsidR="00E13CF7">
              <w:rPr>
                <w:rFonts w:hint="eastAsia"/>
                <w:kern w:val="0"/>
                <w:sz w:val="22"/>
                <w:szCs w:val="22"/>
              </w:rPr>
              <w:t>実現できる．本研究では</w:t>
            </w:r>
            <w:r w:rsidR="005B5744" w:rsidRPr="005B5744">
              <w:rPr>
                <w:rFonts w:hint="eastAsia"/>
                <w:kern w:val="0"/>
                <w:sz w:val="22"/>
                <w:szCs w:val="22"/>
              </w:rPr>
              <w:t>，生産システムの日常的なリスクとして，注文の不確実性から生じる不充足，すなわち「在庫品切れ」をリスクと捉え，レジリエンスを高めることを考える．</w:t>
            </w:r>
          </w:p>
          <w:p w:rsidR="00836FE5" w:rsidRDefault="00E13CF7" w:rsidP="00D00760">
            <w:pPr>
              <w:tabs>
                <w:tab w:val="center" w:pos="4252"/>
              </w:tabs>
              <w:rPr>
                <w:sz w:val="22"/>
                <w:szCs w:val="22"/>
              </w:rPr>
            </w:pPr>
            <w:r>
              <w:rPr>
                <w:rFonts w:hint="eastAsia"/>
                <w:sz w:val="22"/>
                <w:szCs w:val="22"/>
              </w:rPr>
              <w:t>研究の年次計画は，</w:t>
            </w:r>
            <w:r w:rsidR="006E6B3D" w:rsidRPr="00B263E2">
              <w:rPr>
                <w:rFonts w:hint="eastAsia"/>
                <w:sz w:val="22"/>
                <w:szCs w:val="22"/>
              </w:rPr>
              <w:t>第</w:t>
            </w:r>
            <w:r w:rsidR="006E6B3D" w:rsidRPr="00B263E2">
              <w:rPr>
                <w:rFonts w:hint="eastAsia"/>
                <w:sz w:val="22"/>
                <w:szCs w:val="22"/>
              </w:rPr>
              <w:t>1</w:t>
            </w:r>
            <w:r w:rsidR="006E6B3D" w:rsidRPr="00B263E2">
              <w:rPr>
                <w:rFonts w:hint="eastAsia"/>
                <w:sz w:val="22"/>
                <w:szCs w:val="22"/>
              </w:rPr>
              <w:t>段階において，</w:t>
            </w:r>
            <w:proofErr w:type="spellStart"/>
            <w:r w:rsidR="006E6B3D" w:rsidRPr="00B263E2">
              <w:rPr>
                <w:rFonts w:hint="eastAsia"/>
                <w:sz w:val="22"/>
                <w:szCs w:val="22"/>
              </w:rPr>
              <w:t>AVaR</w:t>
            </w:r>
            <w:proofErr w:type="spellEnd"/>
            <w:r w:rsidR="006E6B3D" w:rsidRPr="00B263E2">
              <w:rPr>
                <w:rFonts w:hint="eastAsia"/>
                <w:sz w:val="22"/>
                <w:szCs w:val="22"/>
              </w:rPr>
              <w:t>を特性関数として計画期間トータルに想定される需要量をゲーム理論におけるシャープレイ値を用いて各期に配分</w:t>
            </w:r>
            <w:r>
              <w:rPr>
                <w:rFonts w:hint="eastAsia"/>
                <w:sz w:val="22"/>
                <w:szCs w:val="22"/>
              </w:rPr>
              <w:t>する枠組みをモデル化し</w:t>
            </w:r>
            <w:r w:rsidR="006E6B3D" w:rsidRPr="00B263E2">
              <w:rPr>
                <w:rFonts w:hint="eastAsia"/>
                <w:sz w:val="22"/>
                <w:szCs w:val="22"/>
              </w:rPr>
              <w:t>，期別の想定される需要量を</w:t>
            </w:r>
            <w:r>
              <w:rPr>
                <w:rFonts w:hint="eastAsia"/>
                <w:sz w:val="22"/>
                <w:szCs w:val="22"/>
              </w:rPr>
              <w:t>導出する手順を</w:t>
            </w:r>
            <w:r w:rsidR="006E6B3D" w:rsidRPr="00B263E2">
              <w:rPr>
                <w:rFonts w:hint="eastAsia"/>
                <w:sz w:val="22"/>
                <w:szCs w:val="22"/>
              </w:rPr>
              <w:t>決定する．次に，第</w:t>
            </w:r>
            <w:r w:rsidR="006E6B3D" w:rsidRPr="00B263E2">
              <w:rPr>
                <w:rFonts w:hint="eastAsia"/>
                <w:sz w:val="22"/>
                <w:szCs w:val="22"/>
              </w:rPr>
              <w:t>2</w:t>
            </w:r>
            <w:r w:rsidR="006E6B3D" w:rsidRPr="00B263E2">
              <w:rPr>
                <w:rFonts w:hint="eastAsia"/>
                <w:sz w:val="22"/>
                <w:szCs w:val="22"/>
              </w:rPr>
              <w:t>段階において，ゲーム理論の結果を時系列に展開して期別の生産量を求める</w:t>
            </w:r>
            <w:r>
              <w:rPr>
                <w:rFonts w:hint="eastAsia"/>
                <w:sz w:val="22"/>
                <w:szCs w:val="22"/>
              </w:rPr>
              <w:t>ツールを開発する</w:t>
            </w:r>
            <w:r w:rsidR="006E6B3D" w:rsidRPr="00B263E2">
              <w:rPr>
                <w:rFonts w:hint="eastAsia"/>
                <w:sz w:val="22"/>
                <w:szCs w:val="22"/>
              </w:rPr>
              <w:t>ものである．</w:t>
            </w:r>
          </w:p>
          <w:p w:rsidR="006A314F" w:rsidRPr="00E13CF7" w:rsidRDefault="00E13CF7" w:rsidP="00836FE5">
            <w:pPr>
              <w:tabs>
                <w:tab w:val="center" w:pos="4252"/>
              </w:tabs>
              <w:rPr>
                <w:sz w:val="22"/>
              </w:rPr>
            </w:pPr>
            <w:r>
              <w:rPr>
                <w:rFonts w:hint="eastAsia"/>
                <w:sz w:val="22"/>
                <w:szCs w:val="22"/>
              </w:rPr>
              <w:t>さらに，可能であれば，</w:t>
            </w:r>
            <w:r w:rsidR="006A314F" w:rsidRPr="00B263E2">
              <w:rPr>
                <w:rFonts w:hint="eastAsia"/>
                <w:sz w:val="22"/>
                <w:szCs w:val="22"/>
              </w:rPr>
              <w:t>富山県内で本研究に興味をもっていただける企業において，本研究の成果を適用するための</w:t>
            </w:r>
            <w:r>
              <w:rPr>
                <w:rFonts w:hint="eastAsia"/>
                <w:sz w:val="22"/>
                <w:szCs w:val="22"/>
              </w:rPr>
              <w:t>すり合わせを行い実用化に向けて取り組むことで，</w:t>
            </w:r>
            <w:r w:rsidR="00836FE5">
              <w:rPr>
                <w:rFonts w:hint="eastAsia"/>
                <w:sz w:val="22"/>
                <w:szCs w:val="22"/>
              </w:rPr>
              <w:t>提案モデルとツールの改善により，従来型の生産計画手法にとって代わるリスク対応型のレジリエンスを備えた新しい効果的な仕組みの提案を目標にしている．</w:t>
            </w:r>
          </w:p>
        </w:tc>
      </w:tr>
      <w:tr w:rsidR="00C509B2" w:rsidTr="00C509B2">
        <w:trPr>
          <w:cantSplit/>
          <w:trHeight w:val="252"/>
        </w:trPr>
        <w:tc>
          <w:tcPr>
            <w:tcW w:w="1528" w:type="dxa"/>
            <w:vMerge w:val="restart"/>
          </w:tcPr>
          <w:p w:rsidR="00C509B2" w:rsidRDefault="00C509B2" w:rsidP="00C509B2">
            <w:pPr>
              <w:tabs>
                <w:tab w:val="center" w:pos="4252"/>
              </w:tabs>
              <w:jc w:val="left"/>
              <w:rPr>
                <w:sz w:val="22"/>
                <w:lang w:eastAsia="zh-TW"/>
              </w:rPr>
            </w:pPr>
            <w:r>
              <w:rPr>
                <w:rFonts w:hint="eastAsia"/>
                <w:sz w:val="22"/>
                <w:lang w:eastAsia="zh-TW"/>
              </w:rPr>
              <w:t>13.</w:t>
            </w:r>
            <w:r>
              <w:rPr>
                <w:rFonts w:hint="eastAsia"/>
                <w:sz w:val="22"/>
                <w:lang w:eastAsia="zh-TW"/>
              </w:rPr>
              <w:t>研究経費</w:t>
            </w:r>
          </w:p>
          <w:p w:rsidR="007933F4" w:rsidRDefault="00C509B2" w:rsidP="00C509B2">
            <w:pPr>
              <w:tabs>
                <w:tab w:val="center" w:pos="4252"/>
              </w:tabs>
              <w:jc w:val="left"/>
              <w:rPr>
                <w:sz w:val="22"/>
                <w:lang w:eastAsia="zh-TW"/>
              </w:rPr>
            </w:pPr>
            <w:r>
              <w:rPr>
                <w:rFonts w:hint="eastAsia"/>
                <w:sz w:val="22"/>
                <w:lang w:eastAsia="zh-TW"/>
              </w:rPr>
              <w:t>総額</w:t>
            </w:r>
          </w:p>
          <w:p w:rsidR="00C509B2" w:rsidRDefault="00C509B2" w:rsidP="007933F4">
            <w:pPr>
              <w:tabs>
                <w:tab w:val="center" w:pos="4252"/>
              </w:tabs>
              <w:ind w:firstLineChars="200" w:firstLine="440"/>
              <w:jc w:val="left"/>
              <w:rPr>
                <w:sz w:val="22"/>
                <w:lang w:eastAsia="zh-TW"/>
              </w:rPr>
            </w:pPr>
            <w:r>
              <w:rPr>
                <w:sz w:val="22"/>
                <w:u w:val="single"/>
                <w:lang w:eastAsia="zh-TW"/>
              </w:rPr>
              <w:t>500</w:t>
            </w:r>
            <w:r>
              <w:rPr>
                <w:rFonts w:hint="eastAsia"/>
                <w:sz w:val="22"/>
                <w:u w:val="single"/>
              </w:rPr>
              <w:t>千</w:t>
            </w:r>
            <w:r>
              <w:rPr>
                <w:rFonts w:hint="eastAsia"/>
                <w:sz w:val="22"/>
                <w:u w:val="single"/>
                <w:lang w:eastAsia="zh-TW"/>
              </w:rPr>
              <w:t>円</w:t>
            </w:r>
          </w:p>
        </w:tc>
        <w:tc>
          <w:tcPr>
            <w:tcW w:w="923" w:type="dxa"/>
          </w:tcPr>
          <w:p w:rsidR="00C509B2" w:rsidRDefault="00C509B2" w:rsidP="00C509B2">
            <w:pPr>
              <w:tabs>
                <w:tab w:val="center" w:pos="4252"/>
              </w:tabs>
              <w:jc w:val="center"/>
              <w:rPr>
                <w:sz w:val="22"/>
              </w:rPr>
            </w:pPr>
            <w:r>
              <w:rPr>
                <w:rFonts w:hint="eastAsia"/>
                <w:sz w:val="22"/>
              </w:rPr>
              <w:t>賃金</w:t>
            </w:r>
          </w:p>
        </w:tc>
        <w:tc>
          <w:tcPr>
            <w:tcW w:w="923" w:type="dxa"/>
            <w:gridSpan w:val="3"/>
          </w:tcPr>
          <w:p w:rsidR="00C509B2" w:rsidRDefault="00C509B2" w:rsidP="00C509B2">
            <w:pPr>
              <w:tabs>
                <w:tab w:val="center" w:pos="4252"/>
              </w:tabs>
              <w:jc w:val="center"/>
              <w:rPr>
                <w:sz w:val="22"/>
              </w:rPr>
            </w:pPr>
            <w:r>
              <w:rPr>
                <w:rFonts w:hint="eastAsia"/>
                <w:sz w:val="22"/>
              </w:rPr>
              <w:t>報償費</w:t>
            </w:r>
          </w:p>
        </w:tc>
        <w:tc>
          <w:tcPr>
            <w:tcW w:w="923" w:type="dxa"/>
          </w:tcPr>
          <w:p w:rsidR="00C509B2" w:rsidRDefault="00C509B2" w:rsidP="00C509B2">
            <w:pPr>
              <w:tabs>
                <w:tab w:val="center" w:pos="4252"/>
              </w:tabs>
              <w:jc w:val="center"/>
              <w:rPr>
                <w:sz w:val="22"/>
              </w:rPr>
            </w:pPr>
            <w:r>
              <w:rPr>
                <w:rFonts w:hint="eastAsia"/>
                <w:sz w:val="22"/>
              </w:rPr>
              <w:t>旅費</w:t>
            </w:r>
          </w:p>
        </w:tc>
        <w:tc>
          <w:tcPr>
            <w:tcW w:w="923" w:type="dxa"/>
          </w:tcPr>
          <w:p w:rsidR="00C509B2" w:rsidRDefault="00C509B2" w:rsidP="00C509B2">
            <w:pPr>
              <w:tabs>
                <w:tab w:val="center" w:pos="4252"/>
              </w:tabs>
              <w:jc w:val="center"/>
              <w:rPr>
                <w:sz w:val="22"/>
              </w:rPr>
            </w:pPr>
            <w:r>
              <w:rPr>
                <w:rFonts w:hint="eastAsia"/>
                <w:sz w:val="22"/>
              </w:rPr>
              <w:t>需用費</w:t>
            </w:r>
          </w:p>
        </w:tc>
        <w:tc>
          <w:tcPr>
            <w:tcW w:w="923" w:type="dxa"/>
          </w:tcPr>
          <w:p w:rsidR="00C509B2" w:rsidRDefault="00C509B2" w:rsidP="00C509B2">
            <w:pPr>
              <w:tabs>
                <w:tab w:val="center" w:pos="4252"/>
              </w:tabs>
              <w:jc w:val="center"/>
              <w:rPr>
                <w:sz w:val="22"/>
              </w:rPr>
            </w:pPr>
            <w:r>
              <w:rPr>
                <w:rFonts w:hint="eastAsia"/>
                <w:sz w:val="22"/>
              </w:rPr>
              <w:t>役務費</w:t>
            </w:r>
          </w:p>
        </w:tc>
        <w:tc>
          <w:tcPr>
            <w:tcW w:w="923" w:type="dxa"/>
          </w:tcPr>
          <w:p w:rsidR="00C509B2" w:rsidRDefault="00C509B2" w:rsidP="00C509B2">
            <w:pPr>
              <w:tabs>
                <w:tab w:val="center" w:pos="4252"/>
              </w:tabs>
              <w:jc w:val="center"/>
              <w:rPr>
                <w:sz w:val="22"/>
              </w:rPr>
            </w:pPr>
            <w:r>
              <w:rPr>
                <w:rFonts w:hint="eastAsia"/>
                <w:sz w:val="22"/>
              </w:rPr>
              <w:t>使用料</w:t>
            </w:r>
          </w:p>
        </w:tc>
        <w:tc>
          <w:tcPr>
            <w:tcW w:w="830" w:type="dxa"/>
          </w:tcPr>
          <w:p w:rsidR="00C509B2" w:rsidRDefault="00C509B2" w:rsidP="00C509B2">
            <w:pPr>
              <w:tabs>
                <w:tab w:val="center" w:pos="4252"/>
              </w:tabs>
              <w:jc w:val="center"/>
              <w:rPr>
                <w:sz w:val="22"/>
              </w:rPr>
            </w:pPr>
            <w:r>
              <w:rPr>
                <w:rFonts w:hint="eastAsia"/>
                <w:sz w:val="22"/>
              </w:rPr>
              <w:t>備品</w:t>
            </w:r>
          </w:p>
        </w:tc>
        <w:tc>
          <w:tcPr>
            <w:tcW w:w="1016" w:type="dxa"/>
            <w:tcBorders>
              <w:bottom w:val="single" w:sz="4" w:space="0" w:color="auto"/>
            </w:tcBorders>
          </w:tcPr>
          <w:p w:rsidR="00C509B2" w:rsidRDefault="00C509B2" w:rsidP="00C509B2">
            <w:pPr>
              <w:tabs>
                <w:tab w:val="center" w:pos="4252"/>
              </w:tabs>
              <w:jc w:val="center"/>
              <w:rPr>
                <w:sz w:val="22"/>
              </w:rPr>
            </w:pPr>
            <w:r w:rsidRPr="00AC3A42">
              <w:rPr>
                <w:rFonts w:hint="eastAsia"/>
                <w:sz w:val="18"/>
              </w:rPr>
              <w:t>その他</w:t>
            </w:r>
            <w:r w:rsidRPr="00B8497D">
              <w:rPr>
                <w:rFonts w:hint="eastAsia"/>
                <w:color w:val="0000FF"/>
                <w:sz w:val="18"/>
              </w:rPr>
              <w:t>※²</w:t>
            </w:r>
          </w:p>
        </w:tc>
        <w:tc>
          <w:tcPr>
            <w:tcW w:w="924" w:type="dxa"/>
          </w:tcPr>
          <w:p w:rsidR="00C509B2" w:rsidRDefault="00C509B2" w:rsidP="00C509B2">
            <w:pPr>
              <w:tabs>
                <w:tab w:val="center" w:pos="4252"/>
              </w:tabs>
              <w:jc w:val="center"/>
              <w:rPr>
                <w:sz w:val="22"/>
              </w:rPr>
            </w:pPr>
            <w:r>
              <w:rPr>
                <w:rFonts w:hint="eastAsia"/>
                <w:sz w:val="22"/>
              </w:rPr>
              <w:t>計</w:t>
            </w:r>
          </w:p>
        </w:tc>
      </w:tr>
      <w:tr w:rsidR="00C509B2" w:rsidTr="002B68B8">
        <w:trPr>
          <w:cantSplit/>
          <w:trHeight w:val="609"/>
        </w:trPr>
        <w:tc>
          <w:tcPr>
            <w:tcW w:w="1528" w:type="dxa"/>
            <w:vMerge/>
          </w:tcPr>
          <w:p w:rsidR="00C509B2" w:rsidRDefault="00C509B2" w:rsidP="00C509B2">
            <w:pPr>
              <w:tabs>
                <w:tab w:val="center" w:pos="4252"/>
              </w:tabs>
              <w:jc w:val="left"/>
              <w:rPr>
                <w:sz w:val="22"/>
              </w:rPr>
            </w:pPr>
          </w:p>
        </w:tc>
        <w:tc>
          <w:tcPr>
            <w:tcW w:w="923" w:type="dxa"/>
          </w:tcPr>
          <w:p w:rsidR="00C509B2" w:rsidRDefault="007933F4" w:rsidP="007933F4">
            <w:pPr>
              <w:tabs>
                <w:tab w:val="center" w:pos="4252"/>
              </w:tabs>
              <w:jc w:val="left"/>
              <w:rPr>
                <w:sz w:val="22"/>
              </w:rPr>
            </w:pPr>
            <w:r>
              <w:rPr>
                <w:rFonts w:hint="eastAsia"/>
                <w:sz w:val="22"/>
              </w:rPr>
              <w:t>5</w:t>
            </w:r>
            <w:r>
              <w:rPr>
                <w:sz w:val="22"/>
              </w:rPr>
              <w:t>0</w:t>
            </w:r>
          </w:p>
        </w:tc>
        <w:tc>
          <w:tcPr>
            <w:tcW w:w="923" w:type="dxa"/>
            <w:gridSpan w:val="3"/>
          </w:tcPr>
          <w:p w:rsidR="00C509B2" w:rsidRDefault="00C509B2" w:rsidP="007933F4">
            <w:pPr>
              <w:tabs>
                <w:tab w:val="center" w:pos="4252"/>
              </w:tabs>
              <w:jc w:val="left"/>
              <w:rPr>
                <w:sz w:val="22"/>
              </w:rPr>
            </w:pPr>
          </w:p>
        </w:tc>
        <w:tc>
          <w:tcPr>
            <w:tcW w:w="923" w:type="dxa"/>
          </w:tcPr>
          <w:p w:rsidR="00C509B2" w:rsidRDefault="00C509B2" w:rsidP="007933F4">
            <w:pPr>
              <w:tabs>
                <w:tab w:val="center" w:pos="4252"/>
              </w:tabs>
              <w:jc w:val="left"/>
              <w:rPr>
                <w:sz w:val="22"/>
              </w:rPr>
            </w:pPr>
          </w:p>
        </w:tc>
        <w:tc>
          <w:tcPr>
            <w:tcW w:w="923" w:type="dxa"/>
          </w:tcPr>
          <w:p w:rsidR="00C509B2" w:rsidRDefault="00C509B2" w:rsidP="007933F4">
            <w:pPr>
              <w:tabs>
                <w:tab w:val="center" w:pos="4252"/>
              </w:tabs>
              <w:jc w:val="left"/>
              <w:rPr>
                <w:sz w:val="22"/>
              </w:rPr>
            </w:pPr>
            <w:r>
              <w:rPr>
                <w:sz w:val="22"/>
              </w:rPr>
              <w:t>100</w:t>
            </w:r>
          </w:p>
        </w:tc>
        <w:tc>
          <w:tcPr>
            <w:tcW w:w="923" w:type="dxa"/>
          </w:tcPr>
          <w:p w:rsidR="00C509B2" w:rsidRDefault="00C509B2" w:rsidP="007933F4">
            <w:pPr>
              <w:tabs>
                <w:tab w:val="center" w:pos="4252"/>
              </w:tabs>
              <w:jc w:val="left"/>
              <w:rPr>
                <w:sz w:val="22"/>
              </w:rPr>
            </w:pPr>
          </w:p>
        </w:tc>
        <w:tc>
          <w:tcPr>
            <w:tcW w:w="923" w:type="dxa"/>
          </w:tcPr>
          <w:p w:rsidR="00C509B2" w:rsidRDefault="00C509B2" w:rsidP="007933F4">
            <w:pPr>
              <w:tabs>
                <w:tab w:val="center" w:pos="4252"/>
              </w:tabs>
              <w:jc w:val="left"/>
              <w:rPr>
                <w:sz w:val="22"/>
              </w:rPr>
            </w:pPr>
          </w:p>
        </w:tc>
        <w:tc>
          <w:tcPr>
            <w:tcW w:w="830" w:type="dxa"/>
          </w:tcPr>
          <w:p w:rsidR="00C509B2" w:rsidRDefault="00C509B2" w:rsidP="007933F4">
            <w:pPr>
              <w:tabs>
                <w:tab w:val="center" w:pos="4252"/>
              </w:tabs>
              <w:jc w:val="left"/>
              <w:rPr>
                <w:sz w:val="22"/>
              </w:rPr>
            </w:pPr>
            <w:r>
              <w:rPr>
                <w:rFonts w:hint="eastAsia"/>
                <w:sz w:val="22"/>
              </w:rPr>
              <w:t>3</w:t>
            </w:r>
            <w:r>
              <w:rPr>
                <w:sz w:val="22"/>
              </w:rPr>
              <w:t>00</w:t>
            </w:r>
          </w:p>
        </w:tc>
        <w:tc>
          <w:tcPr>
            <w:tcW w:w="1016" w:type="dxa"/>
            <w:tcBorders>
              <w:bottom w:val="nil"/>
            </w:tcBorders>
          </w:tcPr>
          <w:p w:rsidR="00C509B2" w:rsidRPr="00C509B2" w:rsidRDefault="00C509B2" w:rsidP="007933F4">
            <w:pPr>
              <w:tabs>
                <w:tab w:val="center" w:pos="4252"/>
              </w:tabs>
              <w:jc w:val="left"/>
              <w:rPr>
                <w:sz w:val="22"/>
              </w:rPr>
            </w:pPr>
            <w:r w:rsidRPr="00C509B2">
              <w:rPr>
                <w:sz w:val="22"/>
                <w:lang w:eastAsia="zh-TW"/>
              </w:rPr>
              <w:t>50</w:t>
            </w:r>
          </w:p>
        </w:tc>
        <w:tc>
          <w:tcPr>
            <w:tcW w:w="924" w:type="dxa"/>
          </w:tcPr>
          <w:p w:rsidR="00C509B2" w:rsidRDefault="00C509B2" w:rsidP="007933F4">
            <w:pPr>
              <w:tabs>
                <w:tab w:val="center" w:pos="4252"/>
              </w:tabs>
              <w:jc w:val="left"/>
              <w:rPr>
                <w:sz w:val="22"/>
              </w:rPr>
            </w:pPr>
            <w:r>
              <w:rPr>
                <w:rFonts w:hint="eastAsia"/>
                <w:sz w:val="22"/>
              </w:rPr>
              <w:t>5</w:t>
            </w:r>
            <w:r>
              <w:rPr>
                <w:sz w:val="22"/>
              </w:rPr>
              <w:t>00</w:t>
            </w:r>
          </w:p>
        </w:tc>
      </w:tr>
      <w:tr w:rsidR="00C509B2">
        <w:trPr>
          <w:cantSplit/>
          <w:trHeight w:val="1295"/>
        </w:trPr>
        <w:tc>
          <w:tcPr>
            <w:tcW w:w="9836" w:type="dxa"/>
            <w:gridSpan w:val="12"/>
            <w:tcBorders>
              <w:top w:val="single" w:sz="4" w:space="0" w:color="auto"/>
            </w:tcBorders>
          </w:tcPr>
          <w:p w:rsidR="00C509B2" w:rsidRDefault="00C509B2" w:rsidP="00C509B2">
            <w:pPr>
              <w:tabs>
                <w:tab w:val="center" w:pos="4252"/>
              </w:tabs>
              <w:jc w:val="left"/>
              <w:rPr>
                <w:sz w:val="22"/>
              </w:rPr>
            </w:pPr>
            <w:r>
              <w:rPr>
                <w:rFonts w:hint="eastAsia"/>
                <w:sz w:val="22"/>
              </w:rPr>
              <w:t>14.2019</w:t>
            </w:r>
            <w:r>
              <w:rPr>
                <w:rFonts w:hint="eastAsia"/>
                <w:sz w:val="22"/>
              </w:rPr>
              <w:t>年度に受け入れた研究費</w:t>
            </w:r>
            <w:r>
              <w:rPr>
                <w:rFonts w:hint="eastAsia"/>
                <w:sz w:val="22"/>
              </w:rPr>
              <w:t>(</w:t>
            </w:r>
            <w:r>
              <w:rPr>
                <w:rFonts w:hint="eastAsia"/>
                <w:sz w:val="22"/>
              </w:rPr>
              <w:t>科学研究費、財団等助成金、学長裁量経費、特別研究費など）</w:t>
            </w:r>
          </w:p>
          <w:p w:rsidR="00C509B2" w:rsidRDefault="00C509B2" w:rsidP="00C509B2">
            <w:pPr>
              <w:tabs>
                <w:tab w:val="center" w:pos="4929"/>
              </w:tabs>
              <w:ind w:firstLineChars="200" w:firstLine="440"/>
              <w:jc w:val="left"/>
              <w:rPr>
                <w:sz w:val="22"/>
              </w:rPr>
            </w:pPr>
            <w:r>
              <w:rPr>
                <w:rFonts w:hint="eastAsia"/>
                <w:sz w:val="22"/>
              </w:rPr>
              <w:t>資　金　名</w:t>
            </w:r>
          </w:p>
          <w:p w:rsidR="00C509B2" w:rsidRDefault="00C509B2" w:rsidP="00C509B2">
            <w:pPr>
              <w:tabs>
                <w:tab w:val="left" w:pos="4665"/>
              </w:tabs>
              <w:ind w:firstLineChars="200" w:firstLine="440"/>
              <w:jc w:val="left"/>
              <w:rPr>
                <w:sz w:val="22"/>
              </w:rPr>
            </w:pPr>
            <w:r>
              <w:rPr>
                <w:rFonts w:hint="eastAsia"/>
                <w:sz w:val="22"/>
              </w:rPr>
              <w:t>研究テーマ</w:t>
            </w:r>
            <w:r>
              <w:rPr>
                <w:sz w:val="22"/>
              </w:rPr>
              <w:tab/>
            </w:r>
          </w:p>
          <w:p w:rsidR="00C509B2" w:rsidRDefault="00C509B2" w:rsidP="00C509B2">
            <w:pPr>
              <w:tabs>
                <w:tab w:val="left" w:pos="4665"/>
              </w:tabs>
              <w:ind w:firstLineChars="200" w:firstLine="440"/>
              <w:jc w:val="left"/>
              <w:rPr>
                <w:sz w:val="22"/>
              </w:rPr>
            </w:pPr>
            <w:r>
              <w:rPr>
                <w:rFonts w:hint="eastAsia"/>
                <w:sz w:val="22"/>
              </w:rPr>
              <w:t>金　　　額</w:t>
            </w:r>
            <w:r>
              <w:rPr>
                <w:sz w:val="22"/>
              </w:rPr>
              <w:tab/>
            </w:r>
          </w:p>
        </w:tc>
      </w:tr>
    </w:tbl>
    <w:p w:rsidR="005B3369" w:rsidRPr="00B8497D" w:rsidRDefault="000C39F7" w:rsidP="000D0A2B">
      <w:pPr>
        <w:tabs>
          <w:tab w:val="center" w:pos="4252"/>
        </w:tabs>
        <w:jc w:val="left"/>
        <w:rPr>
          <w:color w:val="0000FF"/>
        </w:rPr>
      </w:pPr>
      <w:r>
        <w:rPr>
          <w:noProof/>
          <w:color w:val="0000FF"/>
        </w:rPr>
        <w:pict>
          <v:shape id="_x0000_s1026" type="#_x0000_t202" alt="" style="position:absolute;margin-left:-2.3pt;margin-top:2.9pt;width:489pt;height:38.25pt;z-index:1;mso-wrap-style:square;mso-wrap-edited:f;mso-width-percent:0;mso-height-percent:0;mso-position-horizontal-relative:text;mso-position-vertical-relative:text;mso-width-percent:0;mso-height-percent:0;v-text-anchor:top" stroked="f">
            <v:textbox inset="5.85pt,.7pt,5.85pt,.7pt">
              <w:txbxContent>
                <w:p w:rsidR="00AC3A42" w:rsidRPr="00DA6715" w:rsidRDefault="00AC3A42" w:rsidP="00AC3A42">
                  <w:pPr>
                    <w:rPr>
                      <w:sz w:val="22"/>
                    </w:rPr>
                  </w:pPr>
                  <w:r w:rsidRPr="00DA6715">
                    <w:rPr>
                      <w:rFonts w:hint="eastAsia"/>
                      <w:sz w:val="22"/>
                    </w:rPr>
                    <w:t>※</w:t>
                  </w:r>
                  <w:r w:rsidRPr="00DA6715">
                    <w:rPr>
                      <w:rFonts w:hint="eastAsia"/>
                      <w:sz w:val="18"/>
                    </w:rPr>
                    <w:t>²</w:t>
                  </w:r>
                  <w:r w:rsidRPr="00DA6715">
                    <w:rPr>
                      <w:rFonts w:hint="eastAsia"/>
                      <w:sz w:val="22"/>
                    </w:rPr>
                    <w:t xml:space="preserve"> </w:t>
                  </w:r>
                  <w:r w:rsidRPr="00DA6715">
                    <w:rPr>
                      <w:rFonts w:hint="eastAsia"/>
                      <w:sz w:val="22"/>
                    </w:rPr>
                    <w:t>間接経費</w:t>
                  </w:r>
                  <w:r w:rsidRPr="00DA6715">
                    <w:rPr>
                      <w:rFonts w:hint="eastAsia"/>
                      <w:sz w:val="22"/>
                    </w:rPr>
                    <w:t>(</w:t>
                  </w:r>
                  <w:r w:rsidRPr="00DA6715">
                    <w:rPr>
                      <w:rFonts w:hint="eastAsia"/>
                      <w:sz w:val="22"/>
                    </w:rPr>
                    <w:t>研究費計の</w:t>
                  </w:r>
                  <w:r w:rsidRPr="00DA6715">
                    <w:rPr>
                      <w:rFonts w:hint="eastAsia"/>
                      <w:sz w:val="22"/>
                    </w:rPr>
                    <w:t>10</w:t>
                  </w:r>
                  <w:r w:rsidRPr="00DA6715">
                    <w:rPr>
                      <w:rFonts w:hint="eastAsia"/>
                      <w:sz w:val="22"/>
                    </w:rPr>
                    <w:t>％</w:t>
                  </w:r>
                  <w:r w:rsidRPr="00DA6715">
                    <w:rPr>
                      <w:rFonts w:hint="eastAsia"/>
                      <w:sz w:val="22"/>
                    </w:rPr>
                    <w:t>)</w:t>
                  </w:r>
                  <w:r w:rsidRPr="00DA6715">
                    <w:rPr>
                      <w:rFonts w:hint="eastAsia"/>
                      <w:sz w:val="22"/>
                    </w:rPr>
                    <w:t>を記入してください</w:t>
                  </w:r>
                  <w:r w:rsidR="00CD1DC7">
                    <w:rPr>
                      <w:rFonts w:hint="eastAsia"/>
                      <w:sz w:val="22"/>
                    </w:rPr>
                    <w:t>．</w:t>
                  </w:r>
                </w:p>
                <w:p w:rsidR="00AC3A42" w:rsidRPr="00DA6715" w:rsidRDefault="00AC3A42" w:rsidP="00AC3A42">
                  <w:pPr>
                    <w:ind w:firstLineChars="200" w:firstLine="440"/>
                    <w:rPr>
                      <w:sz w:val="22"/>
                    </w:rPr>
                  </w:pPr>
                  <w:r w:rsidRPr="00DA6715">
                    <w:rPr>
                      <w:rFonts w:hint="eastAsia"/>
                      <w:sz w:val="22"/>
                    </w:rPr>
                    <w:t>なお、研究経費総額は、当該間接経費を含め</w:t>
                  </w:r>
                  <w:r w:rsidRPr="00DA6715">
                    <w:rPr>
                      <w:rFonts w:hint="eastAsia"/>
                      <w:sz w:val="22"/>
                    </w:rPr>
                    <w:t>500</w:t>
                  </w:r>
                  <w:r w:rsidRPr="00DA6715">
                    <w:rPr>
                      <w:rFonts w:hint="eastAsia"/>
                      <w:sz w:val="22"/>
                    </w:rPr>
                    <w:t>千円以内としてください</w:t>
                  </w:r>
                  <w:r w:rsidR="00CD1DC7">
                    <w:rPr>
                      <w:rFonts w:hint="eastAsia"/>
                      <w:sz w:val="22"/>
                    </w:rPr>
                    <w:t>．</w:t>
                  </w:r>
                </w:p>
              </w:txbxContent>
            </v:textbox>
          </v:shape>
        </w:pict>
      </w:r>
    </w:p>
    <w:sectPr w:rsidR="005B3369" w:rsidRPr="00B8497D" w:rsidSect="00BF3EDC">
      <w:pgSz w:w="11906" w:h="16838" w:code="9"/>
      <w:pgMar w:top="894" w:right="1134" w:bottom="978"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C39F7" w:rsidRDefault="000C39F7" w:rsidP="00BC3EE8">
      <w:r>
        <w:separator/>
      </w:r>
    </w:p>
  </w:endnote>
  <w:endnote w:type="continuationSeparator" w:id="0">
    <w:p w:rsidR="000C39F7" w:rsidRDefault="000C39F7" w:rsidP="00BC3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3" w:usb1="1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C39F7" w:rsidRDefault="000C39F7" w:rsidP="00BC3EE8">
      <w:r>
        <w:separator/>
      </w:r>
    </w:p>
  </w:footnote>
  <w:footnote w:type="continuationSeparator" w:id="0">
    <w:p w:rsidR="000C39F7" w:rsidRDefault="000C39F7" w:rsidP="00BC3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93ED4"/>
    <w:multiLevelType w:val="hybridMultilevel"/>
    <w:tmpl w:val="6F4E6B2E"/>
    <w:lvl w:ilvl="0" w:tplc="3EE4188A">
      <w:start w:val="1"/>
      <w:numFmt w:val="decimal"/>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CE17C0"/>
    <w:multiLevelType w:val="hybridMultilevel"/>
    <w:tmpl w:val="48B0D748"/>
    <w:lvl w:ilvl="0" w:tplc="708292C6">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512E"/>
    <w:rsid w:val="000A5D44"/>
    <w:rsid w:val="000C39F7"/>
    <w:rsid w:val="000D0A2B"/>
    <w:rsid w:val="001260FE"/>
    <w:rsid w:val="00164DD6"/>
    <w:rsid w:val="00176F97"/>
    <w:rsid w:val="001A5DDD"/>
    <w:rsid w:val="001E178A"/>
    <w:rsid w:val="0024064F"/>
    <w:rsid w:val="002572F6"/>
    <w:rsid w:val="002B68B8"/>
    <w:rsid w:val="002D27F0"/>
    <w:rsid w:val="002D54F3"/>
    <w:rsid w:val="002E2792"/>
    <w:rsid w:val="002F5E25"/>
    <w:rsid w:val="003016A6"/>
    <w:rsid w:val="003676C0"/>
    <w:rsid w:val="003C4CED"/>
    <w:rsid w:val="003F3442"/>
    <w:rsid w:val="00427374"/>
    <w:rsid w:val="00455C0F"/>
    <w:rsid w:val="00487556"/>
    <w:rsid w:val="00487680"/>
    <w:rsid w:val="00495B08"/>
    <w:rsid w:val="00567849"/>
    <w:rsid w:val="005A6400"/>
    <w:rsid w:val="005B3369"/>
    <w:rsid w:val="005B5744"/>
    <w:rsid w:val="00602CC8"/>
    <w:rsid w:val="006108FF"/>
    <w:rsid w:val="006278C2"/>
    <w:rsid w:val="00657EC9"/>
    <w:rsid w:val="006A314F"/>
    <w:rsid w:val="006D2783"/>
    <w:rsid w:val="006E2085"/>
    <w:rsid w:val="006E6B3D"/>
    <w:rsid w:val="00726F3F"/>
    <w:rsid w:val="00740370"/>
    <w:rsid w:val="00762913"/>
    <w:rsid w:val="00770E7D"/>
    <w:rsid w:val="00781B36"/>
    <w:rsid w:val="007933F4"/>
    <w:rsid w:val="007E7463"/>
    <w:rsid w:val="00807CFF"/>
    <w:rsid w:val="00816F3F"/>
    <w:rsid w:val="00834AB4"/>
    <w:rsid w:val="00836FE5"/>
    <w:rsid w:val="00875D2A"/>
    <w:rsid w:val="00895732"/>
    <w:rsid w:val="008C75A3"/>
    <w:rsid w:val="0090512E"/>
    <w:rsid w:val="009150E9"/>
    <w:rsid w:val="00964C06"/>
    <w:rsid w:val="00980227"/>
    <w:rsid w:val="009B2770"/>
    <w:rsid w:val="00AB0C39"/>
    <w:rsid w:val="00AC3A42"/>
    <w:rsid w:val="00AC5167"/>
    <w:rsid w:val="00AD6A75"/>
    <w:rsid w:val="00AE6E24"/>
    <w:rsid w:val="00AF03D3"/>
    <w:rsid w:val="00B263E2"/>
    <w:rsid w:val="00B82F5E"/>
    <w:rsid w:val="00B83EF0"/>
    <w:rsid w:val="00B8497D"/>
    <w:rsid w:val="00BC3EE8"/>
    <w:rsid w:val="00BD10D6"/>
    <w:rsid w:val="00BF3EDC"/>
    <w:rsid w:val="00C156BE"/>
    <w:rsid w:val="00C509B2"/>
    <w:rsid w:val="00C87BD7"/>
    <w:rsid w:val="00CB05BB"/>
    <w:rsid w:val="00CC72A5"/>
    <w:rsid w:val="00CD1DC7"/>
    <w:rsid w:val="00D00760"/>
    <w:rsid w:val="00D1423D"/>
    <w:rsid w:val="00D266A5"/>
    <w:rsid w:val="00D41981"/>
    <w:rsid w:val="00D72169"/>
    <w:rsid w:val="00D81FDA"/>
    <w:rsid w:val="00DA6715"/>
    <w:rsid w:val="00DC0A8E"/>
    <w:rsid w:val="00DD1486"/>
    <w:rsid w:val="00DE1923"/>
    <w:rsid w:val="00DF7296"/>
    <w:rsid w:val="00E13CF7"/>
    <w:rsid w:val="00E9475F"/>
    <w:rsid w:val="00F000A3"/>
    <w:rsid w:val="00F2056C"/>
    <w:rsid w:val="00F37047"/>
    <w:rsid w:val="00FB2C72"/>
    <w:rsid w:val="00FD6002"/>
    <w:rsid w:val="00FE184D"/>
    <w:rsid w:val="00FE7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B64EE5"/>
  <w15:docId w15:val="{6A34122A-2B57-4FCC-B81F-F1D4E854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75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3EE8"/>
    <w:pPr>
      <w:tabs>
        <w:tab w:val="center" w:pos="4252"/>
        <w:tab w:val="right" w:pos="8504"/>
      </w:tabs>
      <w:snapToGrid w:val="0"/>
    </w:pPr>
  </w:style>
  <w:style w:type="character" w:customStyle="1" w:styleId="a4">
    <w:name w:val="ヘッダー (文字)"/>
    <w:link w:val="a3"/>
    <w:uiPriority w:val="99"/>
    <w:rsid w:val="00BC3EE8"/>
    <w:rPr>
      <w:kern w:val="2"/>
      <w:sz w:val="24"/>
      <w:szCs w:val="24"/>
    </w:rPr>
  </w:style>
  <w:style w:type="paragraph" w:styleId="a5">
    <w:name w:val="footer"/>
    <w:basedOn w:val="a"/>
    <w:link w:val="a6"/>
    <w:uiPriority w:val="99"/>
    <w:unhideWhenUsed/>
    <w:rsid w:val="00BC3EE8"/>
    <w:pPr>
      <w:tabs>
        <w:tab w:val="center" w:pos="4252"/>
        <w:tab w:val="right" w:pos="8504"/>
      </w:tabs>
      <w:snapToGrid w:val="0"/>
    </w:pPr>
  </w:style>
  <w:style w:type="character" w:customStyle="1" w:styleId="a6">
    <w:name w:val="フッター (文字)"/>
    <w:link w:val="a5"/>
    <w:uiPriority w:val="99"/>
    <w:rsid w:val="00BC3EE8"/>
    <w:rPr>
      <w:kern w:val="2"/>
      <w:sz w:val="24"/>
      <w:szCs w:val="24"/>
    </w:rPr>
  </w:style>
  <w:style w:type="paragraph" w:styleId="a7">
    <w:name w:val="List Paragraph"/>
    <w:basedOn w:val="a"/>
    <w:uiPriority w:val="34"/>
    <w:qFormat/>
    <w:rsid w:val="002572F6"/>
    <w:pPr>
      <w:ind w:left="851"/>
    </w:pPr>
    <w:rPr>
      <w:rFonts w:ascii="ＭＳ 明朝"/>
    </w:rPr>
  </w:style>
  <w:style w:type="paragraph" w:styleId="HTML">
    <w:name w:val="HTML Preformatted"/>
    <w:basedOn w:val="a"/>
    <w:link w:val="HTML0"/>
    <w:uiPriority w:val="99"/>
    <w:unhideWhenUsed/>
    <w:rsid w:val="002B68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link w:val="HTML"/>
    <w:uiPriority w:val="99"/>
    <w:rsid w:val="002B68B8"/>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355862">
      <w:bodyDiv w:val="1"/>
      <w:marLeft w:val="0"/>
      <w:marRight w:val="0"/>
      <w:marTop w:val="0"/>
      <w:marBottom w:val="0"/>
      <w:divBdr>
        <w:top w:val="none" w:sz="0" w:space="0" w:color="auto"/>
        <w:left w:val="none" w:sz="0" w:space="0" w:color="auto"/>
        <w:bottom w:val="none" w:sz="0" w:space="0" w:color="auto"/>
        <w:right w:val="none" w:sz="0" w:space="0" w:color="auto"/>
      </w:divBdr>
    </w:div>
    <w:div w:id="308630293">
      <w:bodyDiv w:val="1"/>
      <w:marLeft w:val="0"/>
      <w:marRight w:val="0"/>
      <w:marTop w:val="0"/>
      <w:marBottom w:val="0"/>
      <w:divBdr>
        <w:top w:val="none" w:sz="0" w:space="0" w:color="auto"/>
        <w:left w:val="none" w:sz="0" w:space="0" w:color="auto"/>
        <w:bottom w:val="none" w:sz="0" w:space="0" w:color="auto"/>
        <w:right w:val="none" w:sz="0" w:space="0" w:color="auto"/>
      </w:divBdr>
    </w:div>
    <w:div w:id="399056627">
      <w:bodyDiv w:val="1"/>
      <w:marLeft w:val="0"/>
      <w:marRight w:val="0"/>
      <w:marTop w:val="0"/>
      <w:marBottom w:val="0"/>
      <w:divBdr>
        <w:top w:val="none" w:sz="0" w:space="0" w:color="auto"/>
        <w:left w:val="none" w:sz="0" w:space="0" w:color="auto"/>
        <w:bottom w:val="none" w:sz="0" w:space="0" w:color="auto"/>
        <w:right w:val="none" w:sz="0" w:space="0" w:color="auto"/>
      </w:divBdr>
    </w:div>
    <w:div w:id="493448385">
      <w:bodyDiv w:val="1"/>
      <w:marLeft w:val="0"/>
      <w:marRight w:val="0"/>
      <w:marTop w:val="0"/>
      <w:marBottom w:val="0"/>
      <w:divBdr>
        <w:top w:val="none" w:sz="0" w:space="0" w:color="auto"/>
        <w:left w:val="none" w:sz="0" w:space="0" w:color="auto"/>
        <w:bottom w:val="none" w:sz="0" w:space="0" w:color="auto"/>
        <w:right w:val="none" w:sz="0" w:space="0" w:color="auto"/>
      </w:divBdr>
    </w:div>
    <w:div w:id="557590617">
      <w:bodyDiv w:val="1"/>
      <w:marLeft w:val="0"/>
      <w:marRight w:val="0"/>
      <w:marTop w:val="0"/>
      <w:marBottom w:val="0"/>
      <w:divBdr>
        <w:top w:val="none" w:sz="0" w:space="0" w:color="auto"/>
        <w:left w:val="none" w:sz="0" w:space="0" w:color="auto"/>
        <w:bottom w:val="none" w:sz="0" w:space="0" w:color="auto"/>
        <w:right w:val="none" w:sz="0" w:space="0" w:color="auto"/>
      </w:divBdr>
    </w:div>
    <w:div w:id="596601704">
      <w:bodyDiv w:val="1"/>
      <w:marLeft w:val="0"/>
      <w:marRight w:val="0"/>
      <w:marTop w:val="0"/>
      <w:marBottom w:val="0"/>
      <w:divBdr>
        <w:top w:val="none" w:sz="0" w:space="0" w:color="auto"/>
        <w:left w:val="none" w:sz="0" w:space="0" w:color="auto"/>
        <w:bottom w:val="none" w:sz="0" w:space="0" w:color="auto"/>
        <w:right w:val="none" w:sz="0" w:space="0" w:color="auto"/>
      </w:divBdr>
    </w:div>
    <w:div w:id="654726480">
      <w:bodyDiv w:val="1"/>
      <w:marLeft w:val="0"/>
      <w:marRight w:val="0"/>
      <w:marTop w:val="0"/>
      <w:marBottom w:val="0"/>
      <w:divBdr>
        <w:top w:val="none" w:sz="0" w:space="0" w:color="auto"/>
        <w:left w:val="none" w:sz="0" w:space="0" w:color="auto"/>
        <w:bottom w:val="none" w:sz="0" w:space="0" w:color="auto"/>
        <w:right w:val="none" w:sz="0" w:space="0" w:color="auto"/>
      </w:divBdr>
    </w:div>
    <w:div w:id="821043345">
      <w:bodyDiv w:val="1"/>
      <w:marLeft w:val="0"/>
      <w:marRight w:val="0"/>
      <w:marTop w:val="0"/>
      <w:marBottom w:val="0"/>
      <w:divBdr>
        <w:top w:val="none" w:sz="0" w:space="0" w:color="auto"/>
        <w:left w:val="none" w:sz="0" w:space="0" w:color="auto"/>
        <w:bottom w:val="none" w:sz="0" w:space="0" w:color="auto"/>
        <w:right w:val="none" w:sz="0" w:space="0" w:color="auto"/>
      </w:divBdr>
    </w:div>
    <w:div w:id="1001545548">
      <w:bodyDiv w:val="1"/>
      <w:marLeft w:val="0"/>
      <w:marRight w:val="0"/>
      <w:marTop w:val="0"/>
      <w:marBottom w:val="0"/>
      <w:divBdr>
        <w:top w:val="none" w:sz="0" w:space="0" w:color="auto"/>
        <w:left w:val="none" w:sz="0" w:space="0" w:color="auto"/>
        <w:bottom w:val="none" w:sz="0" w:space="0" w:color="auto"/>
        <w:right w:val="none" w:sz="0" w:space="0" w:color="auto"/>
      </w:divBdr>
    </w:div>
    <w:div w:id="1047142736">
      <w:bodyDiv w:val="1"/>
      <w:marLeft w:val="0"/>
      <w:marRight w:val="0"/>
      <w:marTop w:val="0"/>
      <w:marBottom w:val="0"/>
      <w:divBdr>
        <w:top w:val="none" w:sz="0" w:space="0" w:color="auto"/>
        <w:left w:val="none" w:sz="0" w:space="0" w:color="auto"/>
        <w:bottom w:val="none" w:sz="0" w:space="0" w:color="auto"/>
        <w:right w:val="none" w:sz="0" w:space="0" w:color="auto"/>
      </w:divBdr>
    </w:div>
    <w:div w:id="1094321860">
      <w:bodyDiv w:val="1"/>
      <w:marLeft w:val="0"/>
      <w:marRight w:val="0"/>
      <w:marTop w:val="0"/>
      <w:marBottom w:val="0"/>
      <w:divBdr>
        <w:top w:val="none" w:sz="0" w:space="0" w:color="auto"/>
        <w:left w:val="none" w:sz="0" w:space="0" w:color="auto"/>
        <w:bottom w:val="none" w:sz="0" w:space="0" w:color="auto"/>
        <w:right w:val="none" w:sz="0" w:space="0" w:color="auto"/>
      </w:divBdr>
    </w:div>
    <w:div w:id="1164664802">
      <w:bodyDiv w:val="1"/>
      <w:marLeft w:val="0"/>
      <w:marRight w:val="0"/>
      <w:marTop w:val="0"/>
      <w:marBottom w:val="0"/>
      <w:divBdr>
        <w:top w:val="none" w:sz="0" w:space="0" w:color="auto"/>
        <w:left w:val="none" w:sz="0" w:space="0" w:color="auto"/>
        <w:bottom w:val="none" w:sz="0" w:space="0" w:color="auto"/>
        <w:right w:val="none" w:sz="0" w:space="0" w:color="auto"/>
      </w:divBdr>
    </w:div>
    <w:div w:id="1195921429">
      <w:bodyDiv w:val="1"/>
      <w:marLeft w:val="0"/>
      <w:marRight w:val="0"/>
      <w:marTop w:val="0"/>
      <w:marBottom w:val="0"/>
      <w:divBdr>
        <w:top w:val="none" w:sz="0" w:space="0" w:color="auto"/>
        <w:left w:val="none" w:sz="0" w:space="0" w:color="auto"/>
        <w:bottom w:val="none" w:sz="0" w:space="0" w:color="auto"/>
        <w:right w:val="none" w:sz="0" w:space="0" w:color="auto"/>
      </w:divBdr>
    </w:div>
    <w:div w:id="134204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2</Pages>
  <Words>495</Words>
  <Characters>2824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富山県立大学事務局</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情報研究係長</dc:creator>
  <cp:lastModifiedBy>奥原　浩之</cp:lastModifiedBy>
  <cp:revision>21</cp:revision>
  <cp:lastPrinted>2020-04-06T08:06:00Z</cp:lastPrinted>
  <dcterms:created xsi:type="dcterms:W3CDTF">2019-04-16T09:02:00Z</dcterms:created>
  <dcterms:modified xsi:type="dcterms:W3CDTF">2020-05-28T06:32:00Z</dcterms:modified>
</cp:coreProperties>
</file>